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sz w:val="44"/>
          <w:szCs w:val="44"/>
        </w:rPr>
      </w:pPr>
    </w:p>
    <w:p>
      <w:pPr>
        <w:spacing w:line="360" w:lineRule="auto"/>
        <w:rPr>
          <w:rFonts w:ascii="Times New Roman" w:hAnsi="Times New Roman" w:eastAsia="FangSong_GB2312" w:cs="Times New Roman"/>
          <w:color w:val="000000"/>
          <w:sz w:val="28"/>
        </w:rPr>
      </w:pPr>
    </w:p>
    <w:p>
      <w:pPr>
        <w:spacing w:line="360" w:lineRule="auto"/>
        <w:jc w:val="center"/>
        <w:rPr>
          <w:rFonts w:ascii="Times New Roman" w:hAnsi="Times New Roman" w:eastAsia="FangSong_GB2312" w:cs="Times New Roman"/>
          <w:color w:val="000000"/>
          <w:sz w:val="28"/>
        </w:rPr>
      </w:pPr>
    </w:p>
    <w:p>
      <w:pPr>
        <w:adjustRightInd w:val="0"/>
        <w:snapToGrid w:val="0"/>
        <w:spacing w:line="360" w:lineRule="auto"/>
        <w:jc w:val="center"/>
        <w:rPr>
          <w:rFonts w:hint="eastAsia" w:ascii="Times New Roman" w:hAnsi="Times New Roman" w:eastAsia="宋体" w:cs="Times New Roman"/>
          <w:b/>
          <w:color w:val="000000"/>
          <w:sz w:val="48"/>
          <w:szCs w:val="48"/>
          <w:lang w:eastAsia="zh-CN"/>
        </w:rPr>
      </w:pPr>
      <w:r>
        <w:rPr>
          <w:rFonts w:hint="eastAsia" w:ascii="Times New Roman" w:hAnsi="Times New Roman" w:eastAsia="宋体" w:cs="Times New Roman"/>
          <w:b/>
          <w:color w:val="000000"/>
          <w:sz w:val="48"/>
          <w:szCs w:val="48"/>
          <w:lang w:eastAsia="zh-CN"/>
        </w:rPr>
        <w:t>山东新中鲁中医医院有限公司</w:t>
      </w:r>
    </w:p>
    <w:p>
      <w:pPr>
        <w:pStyle w:val="29"/>
        <w:adjustRightInd w:val="0"/>
        <w:snapToGrid w:val="0"/>
        <w:spacing w:after="0" w:line="360" w:lineRule="auto"/>
        <w:ind w:left="0" w:leftChars="0" w:firstLine="0" w:firstLineChars="0"/>
        <w:jc w:val="center"/>
        <w:rPr>
          <w:rFonts w:ascii="Times New Roman" w:hAnsi="Times New Roman" w:eastAsia="宋体" w:cs="Times New Roman"/>
          <w:b/>
          <w:color w:val="000000"/>
          <w:sz w:val="48"/>
          <w:szCs w:val="48"/>
        </w:rPr>
      </w:pPr>
      <w:r>
        <w:rPr>
          <w:rFonts w:hint="eastAsia" w:ascii="Times New Roman" w:hAnsi="Times New Roman" w:eastAsia="宋体" w:cs="Times New Roman"/>
          <w:b/>
          <w:color w:val="000000"/>
          <w:sz w:val="48"/>
          <w:szCs w:val="48"/>
        </w:rPr>
        <w:t>建设项目</w:t>
      </w:r>
      <w:r>
        <w:rPr>
          <w:rFonts w:ascii="Times New Roman" w:hAnsi="Times New Roman" w:eastAsia="宋体" w:cs="Times New Roman"/>
          <w:b/>
          <w:color w:val="000000"/>
          <w:sz w:val="48"/>
          <w:szCs w:val="48"/>
        </w:rPr>
        <w:t>竣工环境保护验收监测报告表</w:t>
      </w:r>
    </w:p>
    <w:p>
      <w:pPr>
        <w:spacing w:line="360" w:lineRule="auto"/>
        <w:jc w:val="center"/>
        <w:rPr>
          <w:rFonts w:ascii="Times New Roman" w:hAnsi="Times New Roman" w:eastAsia="宋体" w:cs="Times New Roman"/>
          <w:b/>
          <w:sz w:val="24"/>
          <w:szCs w:val="24"/>
        </w:rPr>
      </w:pPr>
    </w:p>
    <w:p>
      <w:pPr>
        <w:spacing w:line="360" w:lineRule="auto"/>
        <w:jc w:val="center"/>
        <w:rPr>
          <w:rFonts w:ascii="Times New Roman" w:hAnsi="Times New Roman" w:eastAsia="FangSong_GB2312" w:cs="Times New Roman"/>
          <w:color w:val="000000"/>
          <w:sz w:val="28"/>
        </w:rPr>
      </w:pPr>
    </w:p>
    <w:p>
      <w:pPr>
        <w:jc w:val="center"/>
        <w:rPr>
          <w:rFonts w:ascii="Times New Roman" w:hAnsi="Times New Roman" w:eastAsia="FangSong_GB2312" w:cs="Times New Roman"/>
          <w:color w:val="000000"/>
          <w:sz w:val="28"/>
        </w:rPr>
      </w:pPr>
    </w:p>
    <w:p>
      <w:pPr>
        <w:jc w:val="center"/>
        <w:rPr>
          <w:rFonts w:ascii="Times New Roman" w:hAnsi="Times New Roman" w:eastAsia="FangSong_GB2312" w:cs="Times New Roman"/>
          <w:color w:val="000000"/>
          <w:sz w:val="28"/>
        </w:rPr>
      </w:pPr>
    </w:p>
    <w:p>
      <w:pPr>
        <w:jc w:val="center"/>
        <w:rPr>
          <w:rFonts w:ascii="Times New Roman" w:hAnsi="Times New Roman" w:eastAsia="FangSong_GB2312" w:cs="Times New Roman"/>
          <w:color w:val="000000"/>
          <w:sz w:val="28"/>
        </w:rPr>
      </w:pPr>
    </w:p>
    <w:p>
      <w:pPr>
        <w:rPr>
          <w:rFonts w:ascii="Times New Roman" w:hAnsi="Times New Roman" w:eastAsia="FangSong_GB2312" w:cs="Times New Roman"/>
          <w:color w:val="000000"/>
          <w:sz w:val="28"/>
        </w:rPr>
      </w:pPr>
    </w:p>
    <w:p>
      <w:pPr>
        <w:pStyle w:val="29"/>
      </w:pPr>
    </w:p>
    <w:p>
      <w:pPr>
        <w:pStyle w:val="2"/>
      </w:pPr>
    </w:p>
    <w:p>
      <w:pPr>
        <w:rPr>
          <w:rFonts w:ascii="Times New Roman" w:hAnsi="Times New Roman" w:eastAsia="华文新魏" w:cs="Times New Roman"/>
          <w:color w:val="000000"/>
          <w:sz w:val="28"/>
          <w:szCs w:val="28"/>
        </w:rPr>
      </w:pPr>
      <w:r>
        <w:rPr>
          <w:rFonts w:ascii="Times New Roman" w:hAnsi="Times New Roman" w:eastAsia="FangSong_GB2312" w:cs="Times New Roman"/>
          <w:color w:val="000000"/>
          <w:sz w:val="28"/>
        </w:rPr>
        <w:tab/>
      </w:r>
      <w:r>
        <w:rPr>
          <w:rFonts w:ascii="Times New Roman" w:hAnsi="Times New Roman" w:eastAsia="华文新魏" w:cs="Times New Roman"/>
          <w:color w:val="000000"/>
          <w:sz w:val="28"/>
          <w:szCs w:val="28"/>
        </w:rPr>
        <w:tab/>
      </w:r>
    </w:p>
    <w:p>
      <w:pPr>
        <w:ind w:firstLine="560" w:firstLineChars="200"/>
        <w:rPr>
          <w:rFonts w:ascii="Times New Roman" w:hAnsi="Times New Roman" w:eastAsia="华文新魏" w:cs="Times New Roman"/>
          <w:color w:val="000000"/>
          <w:sz w:val="28"/>
          <w:szCs w:val="28"/>
        </w:rPr>
      </w:pPr>
    </w:p>
    <w:p>
      <w:pPr>
        <w:spacing w:line="360" w:lineRule="auto"/>
        <w:ind w:firstLine="1680" w:firstLineChars="600"/>
        <w:rPr>
          <w:rFonts w:ascii="Times New Roman" w:hAnsi="Times New Roman" w:cs="Times New Roman"/>
          <w:color w:val="000000"/>
          <w:sz w:val="28"/>
          <w:szCs w:val="28"/>
        </w:rPr>
      </w:pPr>
    </w:p>
    <w:p>
      <w:pPr>
        <w:spacing w:line="360" w:lineRule="auto"/>
        <w:jc w:val="center"/>
        <w:rPr>
          <w:rFonts w:hint="eastAsia" w:ascii="Times New Roman" w:hAnsi="Times New Roman" w:eastAsia="FangSong_GB2312" w:cs="Times New Roman"/>
          <w:b/>
          <w:bCs/>
          <w:color w:val="000000"/>
          <w:sz w:val="36"/>
          <w:lang w:eastAsia="zh-CN"/>
        </w:rPr>
      </w:pPr>
      <w:r>
        <w:rPr>
          <w:rFonts w:hint="eastAsia" w:ascii="Times New Roman" w:hAnsi="Times New Roman" w:eastAsia="FangSong_GB2312" w:cs="Times New Roman"/>
          <w:b/>
          <w:bCs/>
          <w:color w:val="000000"/>
          <w:sz w:val="36"/>
          <w:lang w:eastAsia="zh-CN"/>
        </w:rPr>
        <w:t>山东新中鲁中医医院有限公司</w:t>
      </w:r>
    </w:p>
    <w:p>
      <w:pPr>
        <w:spacing w:line="360" w:lineRule="auto"/>
        <w:jc w:val="center"/>
        <w:rPr>
          <w:rFonts w:hint="eastAsia" w:ascii="Times New Roman" w:hAnsi="Times New Roman" w:eastAsia="华文新魏" w:cs="Times New Roman"/>
          <w:b/>
          <w:sz w:val="36"/>
          <w:szCs w:val="28"/>
        </w:rPr>
      </w:pPr>
    </w:p>
    <w:p>
      <w:pPr>
        <w:spacing w:line="360" w:lineRule="auto"/>
        <w:jc w:val="center"/>
        <w:rPr>
          <w:rFonts w:ascii="Times New Roman" w:hAnsi="Times New Roman" w:eastAsia="华文新魏" w:cs="Times New Roman"/>
          <w:color w:val="FF0000"/>
          <w:sz w:val="36"/>
          <w:szCs w:val="28"/>
        </w:rPr>
      </w:pPr>
      <w:r>
        <w:rPr>
          <w:rFonts w:ascii="Times New Roman" w:hAnsi="Times New Roman" w:eastAsia="华文新魏" w:cs="Times New Roman"/>
          <w:b/>
          <w:sz w:val="36"/>
          <w:szCs w:val="28"/>
        </w:rPr>
        <w:t>20</w:t>
      </w:r>
      <w:r>
        <w:rPr>
          <w:rFonts w:hint="eastAsia" w:ascii="Times New Roman" w:hAnsi="Times New Roman" w:eastAsia="华文新魏" w:cs="Times New Roman"/>
          <w:b/>
          <w:sz w:val="36"/>
          <w:szCs w:val="28"/>
        </w:rPr>
        <w:t>2</w:t>
      </w:r>
      <w:r>
        <w:rPr>
          <w:rFonts w:hint="eastAsia" w:ascii="Times New Roman" w:hAnsi="Times New Roman" w:eastAsia="华文新魏" w:cs="Times New Roman"/>
          <w:b/>
          <w:sz w:val="36"/>
          <w:szCs w:val="28"/>
          <w:lang w:eastAsia="zh-CN"/>
        </w:rPr>
        <w:t>3</w:t>
      </w:r>
      <w:r>
        <w:rPr>
          <w:rFonts w:ascii="Times New Roman" w:hAnsi="Times New Roman" w:eastAsia="华文新魏" w:cs="Times New Roman"/>
          <w:sz w:val="36"/>
          <w:szCs w:val="28"/>
        </w:rPr>
        <w:t>年</w:t>
      </w:r>
      <w:r>
        <w:rPr>
          <w:rFonts w:hint="eastAsia" w:ascii="Times New Roman" w:hAnsi="Times New Roman" w:eastAsia="华文新魏" w:cs="Times New Roman"/>
          <w:b/>
          <w:sz w:val="36"/>
          <w:szCs w:val="28"/>
          <w:lang w:eastAsia="zh-CN"/>
        </w:rPr>
        <w:t>2</w:t>
      </w:r>
      <w:r>
        <w:rPr>
          <w:rFonts w:ascii="Times New Roman" w:hAnsi="Times New Roman" w:eastAsia="华文新魏" w:cs="Times New Roman"/>
          <w:b/>
          <w:sz w:val="36"/>
          <w:szCs w:val="28"/>
        </w:rPr>
        <w:t>月</w:t>
      </w:r>
    </w:p>
    <w:p>
      <w:pPr>
        <w:rPr>
          <w:rFonts w:ascii="Times New Roman" w:hAnsi="Times New Roman" w:cs="Times New Roman"/>
          <w:color w:val="FF0000"/>
          <w:sz w:val="28"/>
          <w:szCs w:val="28"/>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360" w:lineRule="auto"/>
        <w:rPr>
          <w:rFonts w:ascii="Times New Roman" w:hAnsi="Times New Roman" w:cs="Times New Roman"/>
          <w:color w:val="000000"/>
          <w:sz w:val="28"/>
        </w:rPr>
      </w:pPr>
    </w:p>
    <w:p>
      <w:pPr>
        <w:spacing w:line="360" w:lineRule="auto"/>
        <w:rPr>
          <w:rFonts w:ascii="Times New Roman" w:hAnsi="Times New Roman" w:cs="Times New Roman"/>
          <w:color w:val="000000"/>
          <w:sz w:val="28"/>
        </w:rPr>
      </w:pPr>
    </w:p>
    <w:p>
      <w:pPr>
        <w:spacing w:line="360" w:lineRule="auto"/>
        <w:rPr>
          <w:rFonts w:ascii="Times New Roman" w:hAnsi="Times New Roman" w:cs="Times New Roman"/>
          <w:color w:val="000000"/>
          <w:sz w:val="28"/>
        </w:rPr>
      </w:pPr>
    </w:p>
    <w:p>
      <w:pPr>
        <w:spacing w:line="360" w:lineRule="auto"/>
        <w:rPr>
          <w:rFonts w:ascii="Times New Roman" w:hAnsi="Times New Roman" w:cs="Times New Roman"/>
          <w:color w:val="000000"/>
          <w:spacing w:val="141"/>
          <w:w w:val="79"/>
          <w:sz w:val="28"/>
        </w:rPr>
      </w:pPr>
    </w:p>
    <w:p>
      <w:pPr>
        <w:spacing w:line="360" w:lineRule="auto"/>
        <w:rPr>
          <w:rFonts w:ascii="Times New Roman" w:hAnsi="Times New Roman" w:cs="Times New Roman"/>
          <w:color w:val="000000"/>
          <w:sz w:val="28"/>
          <w:szCs w:val="22"/>
        </w:rPr>
      </w:pPr>
    </w:p>
    <w:p>
      <w:pPr>
        <w:spacing w:line="360" w:lineRule="auto"/>
        <w:rPr>
          <w:rFonts w:ascii="Times New Roman" w:hAnsi="Times New Roman" w:cs="Times New Roman"/>
          <w:color w:val="000000"/>
          <w:sz w:val="28"/>
          <w:szCs w:val="22"/>
        </w:rPr>
      </w:pPr>
    </w:p>
    <w:p>
      <w:pPr>
        <w:tabs>
          <w:tab w:val="left" w:pos="984"/>
        </w:tabs>
        <w:spacing w:line="360" w:lineRule="auto"/>
        <w:rPr>
          <w:rFonts w:ascii="Times New Roman" w:hAnsi="Times New Roman" w:cs="Times New Roman"/>
          <w:color w:val="000000"/>
          <w:sz w:val="28"/>
        </w:rPr>
      </w:pPr>
    </w:p>
    <w:p>
      <w:pPr>
        <w:tabs>
          <w:tab w:val="left" w:pos="984"/>
        </w:tabs>
        <w:spacing w:line="360" w:lineRule="auto"/>
        <w:rPr>
          <w:rFonts w:ascii="Times New Roman" w:hAnsi="Times New Roman" w:cs="Times New Roman"/>
          <w:color w:val="000000"/>
          <w:sz w:val="28"/>
        </w:rPr>
      </w:pPr>
    </w:p>
    <w:p>
      <w:pPr>
        <w:pStyle w:val="2"/>
        <w:rPr>
          <w:rFonts w:ascii="Times New Roman" w:hAnsi="Times New Roman" w:cs="Times New Roman"/>
          <w:color w:val="000000"/>
          <w:sz w:val="28"/>
        </w:rPr>
      </w:pPr>
    </w:p>
    <w:p>
      <w:pPr>
        <w:pStyle w:val="2"/>
        <w:rPr>
          <w:rFonts w:ascii="Times New Roman" w:hAnsi="Times New Roman" w:cs="Times New Roman"/>
          <w:color w:val="000000"/>
          <w:sz w:val="28"/>
        </w:rPr>
      </w:pPr>
    </w:p>
    <w:p>
      <w:pPr>
        <w:pStyle w:val="2"/>
        <w:rPr>
          <w:rFonts w:ascii="Times New Roman" w:hAnsi="Times New Roman" w:cs="Times New Roman"/>
          <w:color w:val="000000"/>
          <w:sz w:val="28"/>
        </w:rPr>
      </w:pPr>
    </w:p>
    <w:p>
      <w:pPr>
        <w:tabs>
          <w:tab w:val="left" w:pos="984"/>
        </w:tabs>
        <w:spacing w:line="360" w:lineRule="auto"/>
        <w:rPr>
          <w:rFonts w:ascii="Times New Roman" w:hAnsi="Times New Roman" w:cs="Times New Roman"/>
          <w:color w:val="000000"/>
          <w:sz w:val="28"/>
        </w:rPr>
      </w:pPr>
    </w:p>
    <w:p>
      <w:pPr>
        <w:tabs>
          <w:tab w:val="left" w:pos="984"/>
        </w:tabs>
        <w:spacing w:line="360" w:lineRule="auto"/>
        <w:rPr>
          <w:rFonts w:ascii="Times New Roman" w:hAnsi="Times New Roman" w:cs="Times New Roman"/>
          <w:color w:val="000000"/>
          <w:sz w:val="28"/>
        </w:rPr>
      </w:pPr>
      <w:r>
        <w:rPr>
          <w:rFonts w:ascii="Times New Roman" w:hAnsi="Times New Roman" w:cs="Times New Roman"/>
          <w:color w:val="000000"/>
          <w:sz w:val="28"/>
        </w:rPr>
        <w:t>建设单位：</w:t>
      </w:r>
      <w:r>
        <w:rPr>
          <w:rFonts w:hint="eastAsia" w:ascii="Times New Roman" w:hAnsi="Times New Roman" w:cs="Times New Roman"/>
          <w:color w:val="000000"/>
          <w:sz w:val="28"/>
          <w:lang w:eastAsia="zh-CN"/>
        </w:rPr>
        <w:t>山东新中鲁中医医院有限公司</w:t>
      </w:r>
      <w:r>
        <w:rPr>
          <w:rFonts w:ascii="Times New Roman" w:hAnsi="Times New Roman" w:cs="Times New Roman"/>
          <w:color w:val="000000"/>
          <w:sz w:val="28"/>
        </w:rPr>
        <w:t>（盖章）</w:t>
      </w:r>
      <w:r>
        <w:rPr>
          <w:rFonts w:ascii="Times New Roman" w:hAnsi="Times New Roman" w:cs="Times New Roman"/>
          <w:color w:val="000000"/>
          <w:sz w:val="28"/>
        </w:rPr>
        <w:tab/>
      </w:r>
    </w:p>
    <w:p>
      <w:pPr>
        <w:spacing w:line="360" w:lineRule="auto"/>
        <w:rPr>
          <w:rFonts w:hint="eastAsia" w:ascii="Times New Roman" w:hAnsi="Times New Roman" w:cs="Times New Roman" w:eastAsiaTheme="minorEastAsia"/>
          <w:color w:val="000000"/>
          <w:sz w:val="28"/>
          <w:lang w:eastAsia="zh-CN"/>
        </w:rPr>
      </w:pPr>
      <w:r>
        <w:rPr>
          <w:rFonts w:ascii="Times New Roman" w:hAnsi="Times New Roman" w:cs="Times New Roman"/>
          <w:color w:val="000000"/>
          <w:sz w:val="28"/>
        </w:rPr>
        <w:t>建设单位法人代表</w:t>
      </w:r>
      <w:r>
        <w:rPr>
          <w:rFonts w:ascii="Times New Roman" w:hAnsi="Times New Roman" w:cs="Times New Roman"/>
          <w:color w:val="000000"/>
          <w:sz w:val="28"/>
          <w:highlight w:val="none"/>
        </w:rPr>
        <w:t>：</w:t>
      </w:r>
      <w:r>
        <w:rPr>
          <w:rFonts w:hint="eastAsia" w:ascii="Times New Roman" w:hAnsi="Times New Roman" w:cs="Times New Roman"/>
          <w:color w:val="000000"/>
          <w:sz w:val="28"/>
          <w:highlight w:val="none"/>
          <w:lang w:eastAsia="zh-CN"/>
        </w:rPr>
        <w:t>朱艳艳</w:t>
      </w:r>
    </w:p>
    <w:p>
      <w:pPr>
        <w:tabs>
          <w:tab w:val="left" w:pos="984"/>
        </w:tabs>
        <w:spacing w:line="360" w:lineRule="auto"/>
        <w:rPr>
          <w:rFonts w:hint="default" w:ascii="Times New Roman" w:hAnsi="Times New Roman" w:cs="Times New Roman"/>
          <w:color w:val="000000"/>
          <w:sz w:val="28"/>
          <w:lang w:val="en-US" w:eastAsia="zh-CN"/>
        </w:rPr>
      </w:pPr>
      <w:r>
        <w:rPr>
          <w:rFonts w:ascii="Times New Roman" w:hAnsi="Times New Roman" w:cs="Times New Roman"/>
          <w:color w:val="000000"/>
          <w:sz w:val="28"/>
        </w:rPr>
        <w:t xml:space="preserve">电话 </w:t>
      </w:r>
      <w:r>
        <w:rPr>
          <w:rFonts w:hint="eastAsia" w:ascii="Times New Roman" w:hAnsi="Times New Roman" w:cs="Times New Roman"/>
          <w:color w:val="000000"/>
          <w:sz w:val="28"/>
          <w:lang w:val="en-US" w:eastAsia="zh-CN"/>
        </w:rPr>
        <w:t>0531-68690465</w:t>
      </w:r>
    </w:p>
    <w:p>
      <w:pPr>
        <w:tabs>
          <w:tab w:val="left" w:pos="984"/>
        </w:tabs>
        <w:spacing w:line="360" w:lineRule="auto"/>
        <w:rPr>
          <w:rFonts w:hint="default" w:ascii="Times New Roman" w:hAnsi="Times New Roman" w:cs="Times New Roman"/>
          <w:color w:val="000000"/>
          <w:sz w:val="28"/>
          <w:lang w:val="en-US" w:eastAsia="zh-CN"/>
        </w:rPr>
      </w:pPr>
      <w:r>
        <w:rPr>
          <w:rFonts w:ascii="Times New Roman" w:hAnsi="Times New Roman" w:cs="Times New Roman"/>
          <w:color w:val="000000"/>
          <w:sz w:val="28"/>
        </w:rPr>
        <w:t>邮编</w:t>
      </w:r>
      <w:r>
        <w:rPr>
          <w:rFonts w:hint="eastAsia" w:ascii="Times New Roman" w:hAnsi="Times New Roman" w:cs="Times New Roman"/>
          <w:color w:val="000000"/>
          <w:sz w:val="28"/>
          <w:lang w:val="en-US" w:eastAsia="zh-CN"/>
        </w:rPr>
        <w:t xml:space="preserve"> 250014</w:t>
      </w:r>
    </w:p>
    <w:p>
      <w:pPr>
        <w:spacing w:line="360" w:lineRule="auto"/>
        <w:rPr>
          <w:rFonts w:hint="eastAsia" w:ascii="Times New Roman" w:hAnsi="Times New Roman" w:cs="Times New Roman" w:eastAsiaTheme="minorEastAsia"/>
          <w:color w:val="000000"/>
          <w:sz w:val="28"/>
          <w:lang w:eastAsia="zh-CN"/>
        </w:rPr>
      </w:pPr>
      <w:r>
        <w:rPr>
          <w:rFonts w:ascii="Times New Roman" w:hAnsi="Times New Roman" w:cs="Times New Roman"/>
          <w:color w:val="000000"/>
          <w:sz w:val="28"/>
        </w:rPr>
        <w:t xml:space="preserve">地址 </w:t>
      </w:r>
      <w:r>
        <w:rPr>
          <w:rFonts w:hint="eastAsia" w:ascii="Times New Roman" w:hAnsi="Times New Roman" w:cs="Times New Roman"/>
          <w:color w:val="000000"/>
          <w:sz w:val="28"/>
        </w:rPr>
        <w:t>山东省济南市</w:t>
      </w:r>
      <w:r>
        <w:rPr>
          <w:rFonts w:hint="eastAsia" w:ascii="Times New Roman" w:hAnsi="Times New Roman" w:cs="Times New Roman"/>
          <w:color w:val="000000"/>
          <w:sz w:val="28"/>
          <w:lang w:eastAsia="zh-CN"/>
        </w:rPr>
        <w:t>山东省济南市历下区趵突泉街道趵突泉南路 6 号</w:t>
      </w:r>
    </w:p>
    <w:p>
      <w:pPr>
        <w:spacing w:line="360" w:lineRule="auto"/>
        <w:rPr>
          <w:rFonts w:ascii="Times New Roman" w:hAnsi="Times New Roman" w:cs="Times New Roman"/>
          <w:color w:val="000000"/>
          <w:sz w:val="28"/>
        </w:rPr>
      </w:pPr>
    </w:p>
    <w:p>
      <w:pPr>
        <w:spacing w:line="360" w:lineRule="auto"/>
        <w:rPr>
          <w:rFonts w:ascii="Times New Roman" w:hAnsi="Times New Roman" w:eastAsia="FangSong_GB2312" w:cs="Times New Roman"/>
          <w:color w:val="000000"/>
          <w:sz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rPr>
          <w:rFonts w:ascii="Times New Roman" w:hAnsi="Times New Roman" w:cs="Times New Roman"/>
          <w:sz w:val="28"/>
          <w:szCs w:val="28"/>
        </w:rPr>
      </w:pPr>
    </w:p>
    <w:p>
      <w:pPr>
        <w:spacing w:line="360" w:lineRule="auto"/>
        <w:jc w:val="center"/>
        <w:rPr>
          <w:rFonts w:ascii="Times New Roman" w:hAnsi="Times New Roman" w:cs="Times New Roman"/>
          <w:b/>
          <w:bCs/>
          <w:sz w:val="36"/>
          <w:szCs w:val="36"/>
          <w:highlight w:val="none"/>
        </w:rPr>
      </w:pPr>
      <w:r>
        <w:rPr>
          <w:rFonts w:ascii="Times New Roman" w:hAnsi="Times New Roman" w:cs="Times New Roman"/>
          <w:b/>
          <w:bCs/>
          <w:sz w:val="36"/>
          <w:szCs w:val="36"/>
          <w:highlight w:val="none"/>
        </w:rPr>
        <w:t>目  录</w:t>
      </w:r>
    </w:p>
    <w:p>
      <w:pPr>
        <w:pStyle w:val="2"/>
        <w:rPr>
          <w:rFonts w:ascii="Times New Roman" w:hAnsi="Times New Roman" w:cs="Times New Roman"/>
          <w:b/>
          <w:bCs/>
          <w:sz w:val="36"/>
          <w:szCs w:val="36"/>
          <w:highlight w:val="none"/>
        </w:rPr>
      </w:pPr>
    </w:p>
    <w:p>
      <w:pPr>
        <w:pStyle w:val="2"/>
        <w:rPr>
          <w:rFonts w:ascii="Times New Roman" w:hAnsi="Times New Roman" w:cs="Times New Roman"/>
          <w:b/>
          <w:bCs/>
          <w:sz w:val="36"/>
          <w:szCs w:val="36"/>
          <w:highlight w:val="none"/>
        </w:rPr>
      </w:pPr>
    </w:p>
    <w:p>
      <w:pPr>
        <w:pStyle w:val="22"/>
        <w:tabs>
          <w:tab w:val="right" w:leader="dot" w:pos="9016"/>
        </w:tabs>
        <w:spacing w:line="360" w:lineRule="auto"/>
        <w:rPr>
          <w:rFonts w:ascii="Times New Roman" w:hAnsi="Times New Roman" w:cs="Times New Roman"/>
          <w:sz w:val="28"/>
          <w:szCs w:val="28"/>
          <w:highlight w:val="none"/>
        </w:rPr>
      </w:pP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TOC \o "1-3" \h \z \u </w:instrText>
      </w:r>
      <w:r>
        <w:rPr>
          <w:rFonts w:ascii="Times New Roman" w:hAnsi="Times New Roman" w:cs="Times New Roman"/>
          <w:sz w:val="28"/>
          <w:szCs w:val="28"/>
          <w:highlight w:val="none"/>
        </w:rPr>
        <w:fldChar w:fldCharType="separate"/>
      </w:r>
      <w:r>
        <w:rPr>
          <w:sz w:val="28"/>
          <w:szCs w:val="28"/>
          <w:highlight w:val="none"/>
        </w:rPr>
        <w:fldChar w:fldCharType="begin"/>
      </w:r>
      <w:r>
        <w:rPr>
          <w:sz w:val="28"/>
          <w:szCs w:val="28"/>
          <w:highlight w:val="none"/>
        </w:rPr>
        <w:instrText xml:space="preserve"> HYPERLINK \l "_Toc516087073" </w:instrText>
      </w:r>
      <w:r>
        <w:rPr>
          <w:sz w:val="28"/>
          <w:szCs w:val="28"/>
          <w:highlight w:val="none"/>
        </w:rPr>
        <w:fldChar w:fldCharType="separate"/>
      </w:r>
      <w:r>
        <w:rPr>
          <w:rStyle w:val="33"/>
          <w:rFonts w:ascii="Times New Roman" w:hAnsi="Times New Roman" w:cs="Times New Roman"/>
          <w:sz w:val="28"/>
          <w:szCs w:val="28"/>
          <w:highlight w:val="none"/>
        </w:rPr>
        <w:t>表一  建设项目基本情况及验收监测依据</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_Toc516087073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"_Toc516087074" </w:instrText>
      </w:r>
      <w:r>
        <w:rPr>
          <w:sz w:val="28"/>
          <w:szCs w:val="28"/>
          <w:highlight w:val="none"/>
        </w:rPr>
        <w:fldChar w:fldCharType="separate"/>
      </w:r>
      <w:r>
        <w:rPr>
          <w:rStyle w:val="33"/>
          <w:rFonts w:ascii="Times New Roman" w:hAnsi="Times New Roman" w:cs="Times New Roman"/>
          <w:sz w:val="28"/>
          <w:szCs w:val="28"/>
          <w:highlight w:val="none"/>
        </w:rPr>
        <w:t>表二  工程建设内容、原材料消耗及水平衡、工艺流程及产污环节</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_Toc516087074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"_Toc516087075" </w:instrText>
      </w:r>
      <w:r>
        <w:rPr>
          <w:sz w:val="28"/>
          <w:szCs w:val="28"/>
          <w:highlight w:val="none"/>
        </w:rPr>
        <w:fldChar w:fldCharType="separate"/>
      </w:r>
      <w:r>
        <w:rPr>
          <w:rStyle w:val="33"/>
          <w:rFonts w:ascii="Times New Roman" w:hAnsi="Times New Roman" w:cs="Times New Roman"/>
          <w:sz w:val="28"/>
          <w:szCs w:val="28"/>
          <w:highlight w:val="none"/>
        </w:rPr>
        <w:t>表三  主要污染源、污染物处理和排放</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_Toc516087075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14</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"_Toc516087076" </w:instrText>
      </w:r>
      <w:r>
        <w:rPr>
          <w:sz w:val="28"/>
          <w:szCs w:val="28"/>
          <w:highlight w:val="none"/>
        </w:rPr>
        <w:fldChar w:fldCharType="separate"/>
      </w:r>
      <w:r>
        <w:rPr>
          <w:rStyle w:val="33"/>
          <w:rFonts w:ascii="Times New Roman" w:hAnsi="Times New Roman" w:cs="Times New Roman"/>
          <w:sz w:val="28"/>
          <w:szCs w:val="28"/>
          <w:highlight w:val="none"/>
        </w:rPr>
        <w:t xml:space="preserve">表四  </w:t>
      </w:r>
      <w:r>
        <w:rPr>
          <w:rStyle w:val="33"/>
          <w:rFonts w:ascii="Times New Roman" w:hAnsi="Times New Roman" w:eastAsia="宋体" w:cs="Times New Roman"/>
          <w:sz w:val="28"/>
          <w:szCs w:val="28"/>
          <w:highlight w:val="none"/>
        </w:rPr>
        <w:t>建设项目环境影响报告表主要结论及审批部门审批决定</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_Toc516087076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19</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"_Toc516087077" </w:instrText>
      </w:r>
      <w:r>
        <w:rPr>
          <w:sz w:val="28"/>
          <w:szCs w:val="28"/>
          <w:highlight w:val="none"/>
        </w:rPr>
        <w:fldChar w:fldCharType="separate"/>
      </w:r>
      <w:r>
        <w:rPr>
          <w:rStyle w:val="33"/>
          <w:rFonts w:ascii="Times New Roman" w:hAnsi="Times New Roman" w:cs="Times New Roman"/>
          <w:sz w:val="28"/>
          <w:szCs w:val="28"/>
          <w:highlight w:val="none"/>
        </w:rPr>
        <w:t xml:space="preserve">表五  </w:t>
      </w:r>
      <w:r>
        <w:rPr>
          <w:rStyle w:val="33"/>
          <w:rFonts w:ascii="Times New Roman" w:hAnsi="Times New Roman" w:eastAsia="宋体" w:cs="Times New Roman"/>
          <w:sz w:val="28"/>
          <w:szCs w:val="28"/>
          <w:highlight w:val="none"/>
        </w:rPr>
        <w:t>验收监测质量保证及质量控制</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_Toc516087077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23</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"_Toc516087078" </w:instrText>
      </w:r>
      <w:r>
        <w:rPr>
          <w:sz w:val="28"/>
          <w:szCs w:val="28"/>
          <w:highlight w:val="none"/>
        </w:rPr>
        <w:fldChar w:fldCharType="separate"/>
      </w:r>
      <w:r>
        <w:rPr>
          <w:rStyle w:val="33"/>
          <w:rFonts w:ascii="Times New Roman" w:hAnsi="Times New Roman" w:cs="Times New Roman"/>
          <w:sz w:val="28"/>
          <w:szCs w:val="28"/>
          <w:highlight w:val="none"/>
        </w:rPr>
        <w:t xml:space="preserve">表六  </w:t>
      </w:r>
      <w:r>
        <w:rPr>
          <w:rStyle w:val="33"/>
          <w:rFonts w:ascii="Times New Roman" w:hAnsi="Times New Roman" w:eastAsia="宋体" w:cs="Times New Roman"/>
          <w:spacing w:val="6"/>
          <w:sz w:val="28"/>
          <w:szCs w:val="28"/>
          <w:highlight w:val="none"/>
        </w:rPr>
        <w:t>验收监测内容</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_Toc516087078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26</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"_Toc516087079" </w:instrText>
      </w:r>
      <w:r>
        <w:rPr>
          <w:sz w:val="28"/>
          <w:szCs w:val="28"/>
          <w:highlight w:val="none"/>
        </w:rPr>
        <w:fldChar w:fldCharType="separate"/>
      </w:r>
      <w:r>
        <w:rPr>
          <w:rStyle w:val="33"/>
          <w:rFonts w:ascii="Times New Roman" w:hAnsi="Times New Roman" w:cs="Times New Roman"/>
          <w:sz w:val="28"/>
          <w:szCs w:val="28"/>
          <w:highlight w:val="none"/>
        </w:rPr>
        <w:t xml:space="preserve">表七  </w:t>
      </w:r>
      <w:r>
        <w:rPr>
          <w:rStyle w:val="33"/>
          <w:rFonts w:ascii="Times New Roman" w:hAnsi="Times New Roman" w:eastAsia="宋体" w:cs="Times New Roman"/>
          <w:sz w:val="28"/>
          <w:szCs w:val="28"/>
          <w:highlight w:val="none"/>
        </w:rPr>
        <w:t>验收监测期间生产工况记录及验收监测结果</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_Toc516087079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29</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pStyle w:val="22"/>
        <w:tabs>
          <w:tab w:val="right" w:leader="dot" w:pos="9016"/>
        </w:tabs>
        <w:spacing w:line="360" w:lineRule="auto"/>
        <w:rPr>
          <w:rFonts w:ascii="Times New Roman" w:hAnsi="Times New Roman" w:cs="Times New Roman"/>
          <w:sz w:val="28"/>
          <w:szCs w:val="28"/>
          <w:highlight w:val="none"/>
        </w:rPr>
      </w:pPr>
      <w:r>
        <w:rPr>
          <w:sz w:val="28"/>
          <w:szCs w:val="28"/>
          <w:highlight w:val="none"/>
        </w:rPr>
        <w:fldChar w:fldCharType="begin"/>
      </w:r>
      <w:r>
        <w:rPr>
          <w:sz w:val="28"/>
          <w:szCs w:val="28"/>
          <w:highlight w:val="none"/>
        </w:rPr>
        <w:instrText xml:space="preserve"> HYPERLINK \l "_Toc516087080" </w:instrText>
      </w:r>
      <w:r>
        <w:rPr>
          <w:sz w:val="28"/>
          <w:szCs w:val="28"/>
          <w:highlight w:val="none"/>
        </w:rPr>
        <w:fldChar w:fldCharType="separate"/>
      </w:r>
      <w:r>
        <w:rPr>
          <w:rStyle w:val="33"/>
          <w:rFonts w:ascii="Times New Roman" w:hAnsi="Times New Roman" w:cs="Times New Roman"/>
          <w:sz w:val="28"/>
          <w:szCs w:val="28"/>
          <w:highlight w:val="none"/>
        </w:rPr>
        <w:t>表八  验收监测结论与建议</w:t>
      </w:r>
      <w:r>
        <w:rPr>
          <w:rFonts w:ascii="Times New Roman" w:hAnsi="Times New Roman" w:cs="Times New Roman"/>
          <w:sz w:val="28"/>
          <w:szCs w:val="28"/>
          <w:highlight w:val="none"/>
        </w:rPr>
        <w:tab/>
      </w:r>
      <w:r>
        <w:rPr>
          <w:rFonts w:ascii="Times New Roman" w:hAnsi="Times New Roman" w:cs="Times New Roman"/>
          <w:sz w:val="28"/>
          <w:szCs w:val="28"/>
          <w:highlight w:val="none"/>
        </w:rPr>
        <w:fldChar w:fldCharType="begin"/>
      </w:r>
      <w:r>
        <w:rPr>
          <w:rFonts w:ascii="Times New Roman" w:hAnsi="Times New Roman" w:cs="Times New Roman"/>
          <w:sz w:val="28"/>
          <w:szCs w:val="28"/>
          <w:highlight w:val="none"/>
        </w:rPr>
        <w:instrText xml:space="preserve"> PAGEREF _Toc516087080 \h </w:instrText>
      </w:r>
      <w:r>
        <w:rPr>
          <w:rFonts w:ascii="Times New Roman" w:hAnsi="Times New Roman" w:cs="Times New Roman"/>
          <w:sz w:val="28"/>
          <w:szCs w:val="28"/>
          <w:highlight w:val="none"/>
        </w:rPr>
        <w:fldChar w:fldCharType="separate"/>
      </w:r>
      <w:r>
        <w:rPr>
          <w:rFonts w:ascii="Times New Roman" w:hAnsi="Times New Roman" w:cs="Times New Roman"/>
          <w:sz w:val="28"/>
          <w:szCs w:val="28"/>
          <w:highlight w:val="none"/>
        </w:rPr>
        <w:t>36</w:t>
      </w:r>
      <w:r>
        <w:rPr>
          <w:rFonts w:ascii="Times New Roman" w:hAnsi="Times New Roman" w:cs="Times New Roman"/>
          <w:sz w:val="28"/>
          <w:szCs w:val="28"/>
          <w:highlight w:val="none"/>
        </w:rPr>
        <w:fldChar w:fldCharType="end"/>
      </w:r>
      <w:r>
        <w:rPr>
          <w:rFonts w:ascii="Times New Roman" w:hAnsi="Times New Roman" w:cs="Times New Roman"/>
          <w:sz w:val="28"/>
          <w:szCs w:val="28"/>
          <w:highlight w:val="none"/>
        </w:rPr>
        <w:fldChar w:fldCharType="end"/>
      </w:r>
    </w:p>
    <w:p>
      <w:pPr>
        <w:spacing w:line="360" w:lineRule="auto"/>
        <w:ind w:firstLine="540"/>
        <w:rPr>
          <w:rFonts w:ascii="Times New Roman" w:hAnsi="Times New Roman" w:cs="Times New Roman"/>
          <w:sz w:val="28"/>
          <w:szCs w:val="28"/>
          <w:highlight w:val="yellow"/>
        </w:rPr>
      </w:pPr>
      <w:r>
        <w:rPr>
          <w:rFonts w:ascii="Times New Roman" w:hAnsi="Times New Roman" w:cs="Times New Roman"/>
          <w:sz w:val="28"/>
          <w:szCs w:val="28"/>
          <w:highlight w:val="none"/>
        </w:rPr>
        <w:fldChar w:fldCharType="end"/>
      </w:r>
    </w:p>
    <w:p>
      <w:pPr>
        <w:spacing w:line="360" w:lineRule="auto"/>
        <w:rPr>
          <w:rFonts w:ascii="Times New Roman" w:hAnsi="Times New Roman" w:cs="Times New Roman"/>
          <w:sz w:val="30"/>
          <w:szCs w:val="30"/>
          <w:highlight w:val="yellow"/>
        </w:rPr>
      </w:pPr>
    </w:p>
    <w:p>
      <w:pPr>
        <w:spacing w:line="360" w:lineRule="auto"/>
        <w:rPr>
          <w:rFonts w:ascii="Times New Roman" w:hAnsi="Times New Roman" w:cs="Times New Roman" w:eastAsiaTheme="minorEastAsia"/>
          <w:b/>
          <w:bCs/>
          <w:sz w:val="30"/>
          <w:szCs w:val="30"/>
          <w:highlight w:val="none"/>
        </w:rPr>
      </w:pPr>
      <w:r>
        <w:rPr>
          <w:rFonts w:ascii="Times New Roman" w:hAnsi="Times New Roman" w:cs="Times New Roman" w:eastAsiaTheme="minorEastAsia"/>
          <w:b/>
          <w:bCs/>
          <w:sz w:val="30"/>
          <w:szCs w:val="30"/>
          <w:highlight w:val="none"/>
        </w:rPr>
        <w:t>附件：</w:t>
      </w:r>
    </w:p>
    <w:p>
      <w:pPr>
        <w:spacing w:line="360" w:lineRule="auto"/>
        <w:rPr>
          <w:rFonts w:ascii="Times New Roman" w:hAnsi="Times New Roman" w:cs="Times New Roman" w:eastAsiaTheme="minorEastAsia"/>
          <w:sz w:val="24"/>
          <w:szCs w:val="24"/>
          <w:highlight w:val="none"/>
        </w:rPr>
      </w:pPr>
      <w:r>
        <w:rPr>
          <w:rFonts w:hint="eastAsia" w:ascii="Times New Roman" w:hAnsi="Times New Roman" w:cs="Times New Roman" w:eastAsiaTheme="minorEastAsia"/>
          <w:sz w:val="24"/>
          <w:szCs w:val="24"/>
          <w:highlight w:val="none"/>
        </w:rPr>
        <w:t>1、三同时登记表</w:t>
      </w:r>
    </w:p>
    <w:p>
      <w:pPr>
        <w:spacing w:line="360" w:lineRule="auto"/>
        <w:rPr>
          <w:rFonts w:ascii="Times New Roman" w:hAnsi="Times New Roman" w:cs="Times New Roman" w:eastAsiaTheme="minorEastAsia"/>
          <w:sz w:val="24"/>
          <w:szCs w:val="24"/>
          <w:highlight w:val="none"/>
        </w:rPr>
      </w:pPr>
      <w:r>
        <w:rPr>
          <w:rFonts w:hint="eastAsia" w:ascii="Times New Roman" w:hAnsi="Times New Roman" w:cs="Times New Roman" w:eastAsiaTheme="minorEastAsia"/>
          <w:sz w:val="24"/>
          <w:szCs w:val="24"/>
          <w:highlight w:val="none"/>
        </w:rPr>
        <w:t>2、环评批复意见</w:t>
      </w:r>
    </w:p>
    <w:p>
      <w:pPr>
        <w:spacing w:line="360" w:lineRule="auto"/>
        <w:rPr>
          <w:rFonts w:ascii="Times New Roman" w:hAnsi="Times New Roman" w:cs="Times New Roman" w:eastAsiaTheme="minorEastAsia"/>
          <w:sz w:val="24"/>
          <w:szCs w:val="24"/>
          <w:highlight w:val="none"/>
        </w:rPr>
      </w:pPr>
      <w:r>
        <w:rPr>
          <w:rFonts w:hint="eastAsia" w:ascii="Times New Roman" w:hAnsi="Times New Roman" w:cs="Times New Roman" w:eastAsiaTheme="minorEastAsia"/>
          <w:sz w:val="24"/>
          <w:szCs w:val="24"/>
          <w:highlight w:val="none"/>
        </w:rPr>
        <w:t>3、委托函</w:t>
      </w:r>
    </w:p>
    <w:p>
      <w:pPr>
        <w:spacing w:line="360" w:lineRule="auto"/>
        <w:rPr>
          <w:rFonts w:ascii="Times New Roman" w:hAnsi="Times New Roman" w:cs="Times New Roman" w:eastAsiaTheme="minorEastAsia"/>
          <w:sz w:val="24"/>
          <w:szCs w:val="24"/>
          <w:highlight w:val="none"/>
        </w:rPr>
      </w:pPr>
      <w:r>
        <w:rPr>
          <w:rFonts w:hint="eastAsia" w:ascii="Times New Roman" w:hAnsi="Times New Roman" w:cs="Times New Roman" w:eastAsiaTheme="minorEastAsia"/>
          <w:sz w:val="24"/>
          <w:szCs w:val="24"/>
          <w:highlight w:val="none"/>
        </w:rPr>
        <w:t>4</w:t>
      </w:r>
      <w:r>
        <w:rPr>
          <w:rFonts w:ascii="Times New Roman" w:hAnsi="Times New Roman" w:cs="Times New Roman" w:eastAsiaTheme="minorEastAsia"/>
          <w:sz w:val="24"/>
          <w:szCs w:val="24"/>
          <w:highlight w:val="none"/>
        </w:rPr>
        <w:t>、</w:t>
      </w:r>
      <w:r>
        <w:rPr>
          <w:rFonts w:hint="eastAsia" w:ascii="Times New Roman" w:hAnsi="Times New Roman" w:cs="Times New Roman" w:eastAsiaTheme="minorEastAsia"/>
          <w:sz w:val="24"/>
          <w:szCs w:val="24"/>
          <w:highlight w:val="none"/>
        </w:rPr>
        <w:t>排污许可</w:t>
      </w:r>
    </w:p>
    <w:p>
      <w:pPr>
        <w:spacing w:line="360" w:lineRule="auto"/>
        <w:rPr>
          <w:rFonts w:ascii="Times New Roman" w:hAnsi="Times New Roman" w:cs="Times New Roman" w:eastAsiaTheme="minorEastAsia"/>
          <w:sz w:val="24"/>
          <w:szCs w:val="24"/>
          <w:highlight w:val="none"/>
        </w:rPr>
      </w:pPr>
      <w:r>
        <w:rPr>
          <w:rFonts w:hint="eastAsia" w:ascii="Times New Roman" w:hAnsi="Times New Roman" w:cs="Times New Roman" w:eastAsiaTheme="minorEastAsia"/>
          <w:sz w:val="24"/>
          <w:szCs w:val="24"/>
          <w:highlight w:val="none"/>
        </w:rPr>
        <w:t>5</w:t>
      </w:r>
      <w:r>
        <w:rPr>
          <w:rFonts w:ascii="Times New Roman" w:hAnsi="Times New Roman" w:cs="Times New Roman" w:eastAsiaTheme="minorEastAsia"/>
          <w:sz w:val="24"/>
          <w:szCs w:val="24"/>
          <w:highlight w:val="none"/>
        </w:rPr>
        <w:t>、</w:t>
      </w:r>
      <w:r>
        <w:rPr>
          <w:rFonts w:hint="eastAsia" w:ascii="Times New Roman" w:hAnsi="Times New Roman" w:cs="Times New Roman" w:eastAsiaTheme="minorEastAsia"/>
          <w:sz w:val="24"/>
          <w:szCs w:val="24"/>
          <w:highlight w:val="none"/>
        </w:rPr>
        <w:t>危废合同</w:t>
      </w:r>
    </w:p>
    <w:p>
      <w:pPr>
        <w:spacing w:line="360" w:lineRule="auto"/>
        <w:rPr>
          <w:rFonts w:hint="eastAsia" w:ascii="Times New Roman" w:hAnsi="Times New Roman" w:cs="Times New Roman" w:eastAsiaTheme="minorEastAsia"/>
          <w:sz w:val="24"/>
          <w:szCs w:val="24"/>
          <w:highlight w:val="none"/>
        </w:rPr>
      </w:pPr>
      <w:r>
        <w:rPr>
          <w:rFonts w:hint="eastAsia" w:ascii="Times New Roman" w:hAnsi="Times New Roman" w:cs="Times New Roman" w:eastAsiaTheme="minorEastAsia"/>
          <w:sz w:val="24"/>
          <w:szCs w:val="24"/>
          <w:highlight w:val="none"/>
        </w:rPr>
        <w:t>6</w:t>
      </w:r>
      <w:r>
        <w:rPr>
          <w:rFonts w:ascii="Times New Roman" w:hAnsi="Times New Roman" w:cs="Times New Roman" w:eastAsiaTheme="minorEastAsia"/>
          <w:sz w:val="24"/>
          <w:szCs w:val="24"/>
          <w:highlight w:val="none"/>
        </w:rPr>
        <w:t>、</w:t>
      </w:r>
      <w:r>
        <w:rPr>
          <w:rFonts w:hint="eastAsia" w:ascii="Times New Roman" w:hAnsi="Times New Roman" w:cs="Times New Roman" w:eastAsiaTheme="minorEastAsia"/>
          <w:sz w:val="24"/>
          <w:szCs w:val="24"/>
          <w:highlight w:val="none"/>
        </w:rPr>
        <w:t>检测报告</w:t>
      </w:r>
    </w:p>
    <w:p>
      <w:pPr>
        <w:pStyle w:val="2"/>
        <w:rPr>
          <w:rFonts w:hint="eastAsia" w:cs="Times New Roman"/>
          <w:color w:val="0000FF"/>
          <w:sz w:val="24"/>
          <w:szCs w:val="24"/>
          <w:highlight w:val="none"/>
          <w:lang w:val="en-US" w:eastAsia="zh-CN"/>
        </w:rPr>
      </w:pPr>
      <w:r>
        <w:rPr>
          <w:rFonts w:hint="eastAsia" w:cs="Times New Roman"/>
          <w:color w:val="0000FF"/>
          <w:sz w:val="24"/>
          <w:szCs w:val="24"/>
          <w:highlight w:val="none"/>
          <w:lang w:val="en-US" w:eastAsia="zh-CN"/>
        </w:rPr>
        <w:t>7、应急预案备案表</w:t>
      </w:r>
    </w:p>
    <w:p>
      <w:pPr>
        <w:pStyle w:val="2"/>
        <w:rPr>
          <w:rFonts w:hint="default" w:cs="Times New Roman" w:eastAsiaTheme="minorEastAsia"/>
          <w:color w:val="0000FF"/>
          <w:sz w:val="24"/>
          <w:szCs w:val="24"/>
          <w:highlight w:val="none"/>
          <w:lang w:val="en-US" w:eastAsia="zh-CN"/>
        </w:rPr>
      </w:pPr>
      <w:r>
        <w:rPr>
          <w:rFonts w:hint="eastAsia" w:cs="Times New Roman"/>
          <w:color w:val="0000FF"/>
          <w:sz w:val="24"/>
          <w:szCs w:val="24"/>
          <w:highlight w:val="none"/>
          <w:lang w:val="en-US" w:eastAsia="zh-CN"/>
        </w:rPr>
        <w:t>8、专家意见及签名</w:t>
      </w:r>
    </w:p>
    <w:p>
      <w:pPr>
        <w:spacing w:line="360" w:lineRule="auto"/>
        <w:rPr>
          <w:rFonts w:hint="eastAsia" w:ascii="Times New Roman" w:hAnsi="Times New Roman" w:cs="Times New Roman" w:eastAsiaTheme="minorEastAsia"/>
          <w:b/>
          <w:bCs/>
          <w:sz w:val="30"/>
          <w:szCs w:val="30"/>
          <w:highlight w:val="none"/>
          <w:lang w:eastAsia="zh-CN"/>
        </w:rPr>
      </w:pPr>
      <w:r>
        <w:rPr>
          <w:rFonts w:hint="eastAsia" w:ascii="Times New Roman" w:hAnsi="Times New Roman" w:cs="Times New Roman" w:eastAsiaTheme="minorEastAsia"/>
          <w:b/>
          <w:bCs/>
          <w:sz w:val="30"/>
          <w:szCs w:val="30"/>
          <w:highlight w:val="none"/>
          <w:lang w:eastAsia="zh-CN"/>
        </w:rPr>
        <w:t>附图：</w:t>
      </w:r>
    </w:p>
    <w:p>
      <w:pPr>
        <w:spacing w:line="360" w:lineRule="auto"/>
        <w:rPr>
          <w:rFonts w:hint="eastAsia" w:ascii="Times New Roman" w:hAnsi="Times New Roman" w:cs="Times New Roman" w:eastAsiaTheme="minorEastAsia"/>
          <w:sz w:val="24"/>
          <w:szCs w:val="24"/>
          <w:highlight w:val="none"/>
          <w:lang w:eastAsia="zh-CN"/>
        </w:rPr>
      </w:pPr>
      <w:r>
        <w:rPr>
          <w:rFonts w:hint="eastAsia" w:ascii="Times New Roman" w:hAnsi="Times New Roman" w:cs="Times New Roman" w:eastAsiaTheme="minorEastAsia"/>
          <w:sz w:val="24"/>
          <w:szCs w:val="24"/>
          <w:highlight w:val="none"/>
          <w:lang w:eastAsia="zh-CN"/>
        </w:rPr>
        <w:t>平面布置总图及各层平面布置图</w:t>
      </w:r>
    </w:p>
    <w:p>
      <w:pPr>
        <w:pStyle w:val="29"/>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highlight w:val="yellow"/>
        </w:rPr>
        <w:sectPr>
          <w:headerReference r:id="rId5" w:type="default"/>
          <w:pgSz w:w="11906" w:h="16838"/>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4"/>
        <w:spacing w:before="0" w:after="0" w:line="360" w:lineRule="auto"/>
        <w:jc w:val="left"/>
        <w:rPr>
          <w:rFonts w:ascii="Times New Roman" w:hAnsi="Times New Roman" w:cs="Times New Roman"/>
          <w:sz w:val="28"/>
          <w:szCs w:val="28"/>
        </w:rPr>
      </w:pPr>
      <w:bookmarkStart w:id="0" w:name="_Toc516087073"/>
      <w:r>
        <w:rPr>
          <w:rFonts w:ascii="Times New Roman" w:hAnsi="Times New Roman" w:cs="Times New Roman"/>
          <w:sz w:val="28"/>
          <w:szCs w:val="28"/>
        </w:rPr>
        <w:t>表一  建设项目基本情况及验收监测依据</w:t>
      </w:r>
      <w:bookmarkEnd w:id="0"/>
    </w:p>
    <w:tbl>
      <w:tblPr>
        <w:tblStyle w:val="30"/>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1943"/>
        <w:gridCol w:w="1997"/>
        <w:gridCol w:w="1089"/>
        <w:gridCol w:w="830"/>
        <w:gridCol w:w="7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建设项目名称</w:t>
            </w:r>
          </w:p>
        </w:tc>
        <w:tc>
          <w:tcPr>
            <w:tcW w:w="3860" w:type="pct"/>
            <w:gridSpan w:val="5"/>
            <w:vAlign w:val="center"/>
          </w:tcPr>
          <w:p>
            <w:pPr>
              <w:jc w:val="center"/>
              <w:rPr>
                <w:rFonts w:hint="eastAsia" w:ascii="Times New Roman" w:hAnsi="Times New Roman" w:cs="Times New Roman" w:eastAsiaTheme="minorEastAsia"/>
                <w:color w:val="000000"/>
                <w:sz w:val="24"/>
                <w:szCs w:val="24"/>
                <w:lang w:eastAsia="zh-CN"/>
              </w:rPr>
            </w:pPr>
            <w:r>
              <w:rPr>
                <w:rFonts w:hint="eastAsia" w:eastAsia="宋体"/>
                <w:sz w:val="24"/>
                <w:szCs w:val="24"/>
                <w:lang w:eastAsia="zh-CN"/>
              </w:rPr>
              <w:t>山东新中鲁中医医院有限公司新建中医医院项目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建设单位名称</w:t>
            </w:r>
          </w:p>
        </w:tc>
        <w:tc>
          <w:tcPr>
            <w:tcW w:w="3860" w:type="pct"/>
            <w:gridSpan w:val="5"/>
            <w:vAlign w:val="center"/>
          </w:tcPr>
          <w:p>
            <w:pPr>
              <w:jc w:val="center"/>
              <w:rPr>
                <w:rFonts w:hint="eastAsia" w:ascii="Times New Roman" w:hAnsi="Times New Roman" w:eastAsia="宋体" w:cs="Times New Roman"/>
                <w:sz w:val="24"/>
                <w:szCs w:val="24"/>
                <w:highlight w:val="yellow"/>
                <w:lang w:eastAsia="zh-CN"/>
              </w:rPr>
            </w:pPr>
            <w:r>
              <w:rPr>
                <w:rFonts w:hint="eastAsia" w:eastAsia="宋体"/>
                <w:sz w:val="24"/>
                <w:szCs w:val="24"/>
                <w:lang w:eastAsia="zh-CN"/>
              </w:rPr>
              <w:t>山东新中鲁中医医院有限公司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建设项目性质</w:t>
            </w:r>
          </w:p>
        </w:tc>
        <w:tc>
          <w:tcPr>
            <w:tcW w:w="3860" w:type="pct"/>
            <w:gridSpan w:val="5"/>
            <w:vAlign w:val="center"/>
          </w:tcPr>
          <w:p>
            <w:pPr>
              <w:jc w:val="center"/>
              <w:rPr>
                <w:rFonts w:ascii="Times New Roman" w:hAnsi="Times New Roman" w:cs="Times New Roman"/>
                <w:color w:val="000000"/>
                <w:sz w:val="24"/>
                <w:szCs w:val="24"/>
              </w:rPr>
            </w:pPr>
            <w:r>
              <w:rPr>
                <w:rFonts w:hint="default" w:ascii="Times New Roman" w:hAnsi="Times New Roman" w:cs="Times New Roman"/>
                <w:sz w:val="24"/>
              </w:rPr>
              <w:t xml:space="preserve"> √新建    □改扩建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建设地点</w:t>
            </w:r>
          </w:p>
        </w:tc>
        <w:tc>
          <w:tcPr>
            <w:tcW w:w="3860" w:type="pct"/>
            <w:gridSpan w:val="5"/>
            <w:vAlign w:val="center"/>
          </w:tcPr>
          <w:p>
            <w:pPr>
              <w:jc w:val="center"/>
              <w:rPr>
                <w:rFonts w:hint="eastAsia" w:ascii="Times New Roman" w:hAnsi="Times New Roman" w:cs="Times New Roman" w:eastAsiaTheme="minorEastAsia"/>
                <w:color w:val="000000"/>
                <w:sz w:val="24"/>
                <w:szCs w:val="24"/>
                <w:lang w:eastAsia="zh-CN"/>
              </w:rPr>
            </w:pPr>
            <w:r>
              <w:rPr>
                <w:rFonts w:hint="eastAsia" w:ascii="Times New Roman" w:hAnsi="Times New Roman" w:cs="Times New Roman"/>
                <w:color w:val="000000"/>
                <w:sz w:val="24"/>
                <w:szCs w:val="24"/>
                <w:lang w:eastAsia="zh-CN"/>
              </w:rPr>
              <w:t>山东省济南市历下区趵突泉街道趵突泉南路6号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项目规模</w:t>
            </w:r>
          </w:p>
        </w:tc>
        <w:tc>
          <w:tcPr>
            <w:tcW w:w="3860" w:type="pct"/>
            <w:gridSpan w:val="5"/>
            <w:vAlign w:val="center"/>
          </w:tcPr>
          <w:p>
            <w:pPr>
              <w:jc w:val="center"/>
              <w:rPr>
                <w:rFonts w:hint="default" w:ascii="Times New Roman" w:hAnsi="Times New Roman" w:cs="Times New Roman" w:eastAsiaTheme="minorEastAsia"/>
                <w:color w:val="000000"/>
                <w:sz w:val="24"/>
                <w:szCs w:val="24"/>
                <w:lang w:val="en-US" w:eastAsia="zh-CN"/>
              </w:rPr>
            </w:pPr>
            <w:r>
              <w:rPr>
                <w:rFonts w:hint="eastAsia" w:ascii="Times New Roman" w:hAnsi="Times New Roman" w:cs="Times New Roman"/>
                <w:color w:val="000000"/>
                <w:sz w:val="24"/>
                <w:szCs w:val="24"/>
              </w:rPr>
              <w:t>医院设置</w:t>
            </w:r>
            <w:r>
              <w:rPr>
                <w:rFonts w:hint="eastAsia" w:ascii="Times New Roman" w:hAnsi="Times New Roman" w:cs="Times New Roman"/>
                <w:color w:val="000000"/>
                <w:sz w:val="24"/>
                <w:szCs w:val="24"/>
                <w:highlight w:val="none"/>
                <w:lang w:val="en-US" w:eastAsia="zh-CN"/>
              </w:rPr>
              <w:t>27</w:t>
            </w:r>
            <w:r>
              <w:rPr>
                <w:rFonts w:hint="eastAsia" w:ascii="Times New Roman" w:hAnsi="Times New Roman" w:cs="Times New Roman"/>
                <w:color w:val="000000"/>
                <w:sz w:val="24"/>
                <w:szCs w:val="24"/>
                <w:highlight w:val="none"/>
              </w:rPr>
              <w:t>张床位，</w:t>
            </w:r>
            <w:r>
              <w:rPr>
                <w:rFonts w:hint="eastAsia" w:ascii="Times New Roman" w:hAnsi="Times New Roman" w:cs="Times New Roman"/>
                <w:color w:val="000000"/>
                <w:sz w:val="24"/>
                <w:szCs w:val="24"/>
                <w:highlight w:val="none"/>
                <w:lang w:eastAsia="zh-CN"/>
              </w:rPr>
              <w:t>门诊</w:t>
            </w:r>
            <w:r>
              <w:rPr>
                <w:rFonts w:hint="eastAsia" w:ascii="Times New Roman" w:hAnsi="Times New Roman" w:cs="Times New Roman"/>
                <w:color w:val="000000"/>
                <w:sz w:val="24"/>
                <w:szCs w:val="24"/>
                <w:highlight w:val="none"/>
                <w:lang w:val="en-US" w:eastAsia="zh-CN"/>
              </w:rPr>
              <w:t>100人次/天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sz w:val="24"/>
                <w:szCs w:val="24"/>
              </w:rPr>
            </w:pPr>
            <w:r>
              <w:rPr>
                <w:rFonts w:ascii="Times New Roman" w:hAnsi="Times New Roman" w:cs="Times New Roman"/>
                <w:sz w:val="24"/>
                <w:szCs w:val="24"/>
              </w:rPr>
              <w:t>建设项目</w:t>
            </w:r>
          </w:p>
          <w:p>
            <w:pPr>
              <w:jc w:val="center"/>
              <w:rPr>
                <w:rFonts w:ascii="Times New Roman" w:hAnsi="Times New Roman" w:cs="Times New Roman"/>
                <w:sz w:val="24"/>
                <w:szCs w:val="24"/>
              </w:rPr>
            </w:pPr>
            <w:r>
              <w:rPr>
                <w:rFonts w:ascii="Times New Roman" w:hAnsi="Times New Roman" w:cs="Times New Roman"/>
                <w:sz w:val="24"/>
                <w:szCs w:val="24"/>
              </w:rPr>
              <w:t>环评时间</w:t>
            </w:r>
          </w:p>
        </w:tc>
        <w:tc>
          <w:tcPr>
            <w:tcW w:w="1140" w:type="pct"/>
            <w:vAlign w:val="center"/>
          </w:tcPr>
          <w:p>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202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07</w:t>
            </w:r>
          </w:p>
        </w:tc>
        <w:tc>
          <w:tcPr>
            <w:tcW w:w="1172" w:type="pct"/>
            <w:vAlign w:val="center"/>
          </w:tcPr>
          <w:p>
            <w:pPr>
              <w:jc w:val="center"/>
              <w:rPr>
                <w:rFonts w:ascii="Times New Roman" w:hAnsi="Times New Roman" w:cs="Times New Roman"/>
                <w:sz w:val="24"/>
                <w:szCs w:val="24"/>
              </w:rPr>
            </w:pPr>
            <w:r>
              <w:rPr>
                <w:rFonts w:ascii="Times New Roman" w:hAnsi="Times New Roman" w:cs="Times New Roman"/>
                <w:sz w:val="24"/>
                <w:szCs w:val="24"/>
              </w:rPr>
              <w:t>开工建设时间</w:t>
            </w:r>
          </w:p>
        </w:tc>
        <w:tc>
          <w:tcPr>
            <w:tcW w:w="1547" w:type="pct"/>
            <w:gridSpan w:val="3"/>
            <w:vAlign w:val="center"/>
          </w:tcPr>
          <w:p>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202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9" w:type="pct"/>
            <w:vAlign w:val="center"/>
          </w:tcPr>
          <w:p>
            <w:pPr>
              <w:jc w:val="center"/>
              <w:rPr>
                <w:rFonts w:ascii="Times New Roman" w:hAnsi="Times New Roman" w:cs="Times New Roman"/>
                <w:sz w:val="24"/>
                <w:szCs w:val="24"/>
              </w:rPr>
            </w:pPr>
            <w:r>
              <w:rPr>
                <w:rFonts w:ascii="Times New Roman" w:hAnsi="Times New Roman" w:cs="Times New Roman"/>
                <w:sz w:val="24"/>
                <w:szCs w:val="24"/>
              </w:rPr>
              <w:t>调试时间</w:t>
            </w:r>
          </w:p>
        </w:tc>
        <w:tc>
          <w:tcPr>
            <w:tcW w:w="1140" w:type="pct"/>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rPr>
              <w:t>2022.</w:t>
            </w:r>
            <w:r>
              <w:rPr>
                <w:rFonts w:hint="eastAsia" w:ascii="Times New Roman" w:hAnsi="Times New Roman" w:cs="Times New Roman"/>
                <w:sz w:val="24"/>
                <w:szCs w:val="24"/>
                <w:lang w:val="en-US" w:eastAsia="zh-CN"/>
              </w:rPr>
              <w:t>12</w:t>
            </w:r>
          </w:p>
        </w:tc>
        <w:tc>
          <w:tcPr>
            <w:tcW w:w="1172" w:type="pct"/>
            <w:vAlign w:val="center"/>
          </w:tcPr>
          <w:p>
            <w:pPr>
              <w:jc w:val="center"/>
              <w:rPr>
                <w:rFonts w:ascii="Times New Roman" w:hAnsi="Times New Roman" w:cs="Times New Roman"/>
                <w:sz w:val="24"/>
                <w:szCs w:val="24"/>
              </w:rPr>
            </w:pPr>
            <w:r>
              <w:rPr>
                <w:rFonts w:ascii="Times New Roman" w:hAnsi="Times New Roman" w:cs="Times New Roman"/>
                <w:sz w:val="24"/>
                <w:szCs w:val="24"/>
              </w:rPr>
              <w:t>验收现场</w:t>
            </w:r>
          </w:p>
          <w:p>
            <w:pPr>
              <w:jc w:val="center"/>
              <w:rPr>
                <w:rFonts w:ascii="Times New Roman" w:hAnsi="Times New Roman" w:cs="Times New Roman"/>
                <w:sz w:val="24"/>
                <w:szCs w:val="24"/>
              </w:rPr>
            </w:pPr>
            <w:r>
              <w:rPr>
                <w:rFonts w:ascii="Times New Roman" w:hAnsi="Times New Roman" w:cs="Times New Roman"/>
                <w:sz w:val="24"/>
                <w:szCs w:val="24"/>
              </w:rPr>
              <w:t>监测时间</w:t>
            </w:r>
          </w:p>
        </w:tc>
        <w:tc>
          <w:tcPr>
            <w:tcW w:w="1547" w:type="pct"/>
            <w:gridSpan w:val="3"/>
            <w:vAlign w:val="center"/>
          </w:tcPr>
          <w:p>
            <w:pPr>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2022</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01</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13</w:t>
            </w: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8" w:hRule="atLeast"/>
          <w:jc w:val="center"/>
        </w:trPr>
        <w:tc>
          <w:tcPr>
            <w:tcW w:w="1139" w:type="pct"/>
            <w:vAlign w:val="center"/>
          </w:tcPr>
          <w:p>
            <w:pPr>
              <w:jc w:val="center"/>
              <w:rPr>
                <w:rFonts w:ascii="Times New Roman" w:hAnsi="Times New Roman" w:cs="Times New Roman"/>
                <w:sz w:val="24"/>
                <w:szCs w:val="24"/>
              </w:rPr>
            </w:pPr>
            <w:r>
              <w:rPr>
                <w:rFonts w:ascii="Times New Roman" w:hAnsi="Times New Roman" w:cs="Times New Roman"/>
                <w:sz w:val="24"/>
                <w:szCs w:val="24"/>
              </w:rPr>
              <w:t>环评报告表</w:t>
            </w:r>
          </w:p>
          <w:p>
            <w:pPr>
              <w:jc w:val="center"/>
              <w:rPr>
                <w:rFonts w:ascii="Times New Roman" w:hAnsi="Times New Roman" w:cs="Times New Roman"/>
                <w:sz w:val="24"/>
                <w:szCs w:val="24"/>
              </w:rPr>
            </w:pPr>
            <w:r>
              <w:rPr>
                <w:rFonts w:ascii="Times New Roman" w:hAnsi="Times New Roman" w:cs="Times New Roman"/>
                <w:sz w:val="24"/>
                <w:szCs w:val="24"/>
              </w:rPr>
              <w:t>审批部门</w:t>
            </w:r>
          </w:p>
        </w:tc>
        <w:tc>
          <w:tcPr>
            <w:tcW w:w="1140" w:type="pct"/>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济南市生态环境局</w:t>
            </w:r>
          </w:p>
        </w:tc>
        <w:tc>
          <w:tcPr>
            <w:tcW w:w="1172" w:type="pct"/>
            <w:vAlign w:val="center"/>
          </w:tcPr>
          <w:p>
            <w:pPr>
              <w:jc w:val="center"/>
              <w:rPr>
                <w:rFonts w:ascii="Times New Roman" w:hAnsi="Times New Roman" w:cs="Times New Roman"/>
                <w:sz w:val="24"/>
                <w:szCs w:val="24"/>
              </w:rPr>
            </w:pPr>
            <w:r>
              <w:rPr>
                <w:rFonts w:ascii="Times New Roman" w:hAnsi="Times New Roman" w:cs="Times New Roman"/>
                <w:sz w:val="24"/>
                <w:szCs w:val="24"/>
              </w:rPr>
              <w:t>环评报告表</w:t>
            </w:r>
          </w:p>
          <w:p>
            <w:pPr>
              <w:jc w:val="center"/>
              <w:rPr>
                <w:rFonts w:ascii="Times New Roman" w:hAnsi="Times New Roman" w:cs="Times New Roman"/>
                <w:sz w:val="24"/>
                <w:szCs w:val="24"/>
              </w:rPr>
            </w:pPr>
            <w:r>
              <w:rPr>
                <w:rFonts w:ascii="Times New Roman" w:hAnsi="Times New Roman" w:cs="Times New Roman"/>
                <w:sz w:val="24"/>
                <w:szCs w:val="24"/>
              </w:rPr>
              <w:t>编制单位</w:t>
            </w:r>
          </w:p>
        </w:tc>
        <w:tc>
          <w:tcPr>
            <w:tcW w:w="1547" w:type="pct"/>
            <w:gridSpan w:val="3"/>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济南沐风环保科技</w:t>
            </w:r>
          </w:p>
          <w:p>
            <w:pPr>
              <w:jc w:val="center"/>
              <w:rPr>
                <w:rFonts w:ascii="Times New Roman" w:hAnsi="Times New Roman" w:cs="Times New Roman"/>
                <w:sz w:val="24"/>
                <w:szCs w:val="24"/>
              </w:rPr>
            </w:pPr>
            <w:r>
              <w:rPr>
                <w:rFonts w:hint="eastAsia" w:ascii="Times New Roman" w:hAnsi="Times New Roman" w:cs="Times New Roman"/>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环保设施设计</w:t>
            </w:r>
          </w:p>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单位</w:t>
            </w:r>
          </w:p>
        </w:tc>
        <w:tc>
          <w:tcPr>
            <w:tcW w:w="1140" w:type="pct"/>
            <w:vAlign w:val="center"/>
          </w:tcPr>
          <w:p>
            <w:pPr>
              <w:jc w:val="center"/>
              <w:rPr>
                <w:rFonts w:ascii="Times New Roman" w:hAnsi="Times New Roman" w:cs="Times New Roman"/>
                <w:sz w:val="24"/>
                <w:szCs w:val="24"/>
              </w:rPr>
            </w:pPr>
            <w:r>
              <w:rPr>
                <w:rFonts w:hint="eastAsia" w:ascii="Times New Roman" w:hAnsi="Times New Roman" w:cs="Times New Roman"/>
                <w:sz w:val="24"/>
                <w:szCs w:val="24"/>
              </w:rPr>
              <w:t>山东启迪科臻环境科技有</w:t>
            </w:r>
            <w:bookmarkStart w:id="12" w:name="_GoBack"/>
            <w:bookmarkEnd w:id="12"/>
            <w:r>
              <w:rPr>
                <w:rFonts w:hint="eastAsia" w:ascii="Times New Roman" w:hAnsi="Times New Roman" w:cs="Times New Roman"/>
                <w:sz w:val="24"/>
                <w:szCs w:val="24"/>
              </w:rPr>
              <w:t>限公司</w:t>
            </w:r>
          </w:p>
        </w:tc>
        <w:tc>
          <w:tcPr>
            <w:tcW w:w="1172" w:type="pct"/>
            <w:vAlign w:val="center"/>
          </w:tcPr>
          <w:p>
            <w:pPr>
              <w:jc w:val="center"/>
              <w:rPr>
                <w:rFonts w:ascii="Times New Roman" w:hAnsi="Times New Roman" w:cs="Times New Roman"/>
                <w:sz w:val="24"/>
                <w:szCs w:val="24"/>
              </w:rPr>
            </w:pPr>
            <w:r>
              <w:rPr>
                <w:rFonts w:ascii="Times New Roman" w:hAnsi="Times New Roman" w:cs="Times New Roman"/>
                <w:sz w:val="24"/>
                <w:szCs w:val="24"/>
              </w:rPr>
              <w:t>环保设施施工</w:t>
            </w:r>
          </w:p>
          <w:p>
            <w:pPr>
              <w:jc w:val="center"/>
              <w:rPr>
                <w:rFonts w:ascii="Times New Roman" w:hAnsi="Times New Roman" w:cs="Times New Roman"/>
                <w:sz w:val="24"/>
                <w:szCs w:val="24"/>
              </w:rPr>
            </w:pPr>
            <w:r>
              <w:rPr>
                <w:rFonts w:ascii="Times New Roman" w:hAnsi="Times New Roman" w:cs="Times New Roman"/>
                <w:sz w:val="24"/>
                <w:szCs w:val="24"/>
              </w:rPr>
              <w:t>单位</w:t>
            </w:r>
          </w:p>
        </w:tc>
        <w:tc>
          <w:tcPr>
            <w:tcW w:w="1547" w:type="pct"/>
            <w:gridSpan w:val="3"/>
            <w:vAlign w:val="center"/>
          </w:tcPr>
          <w:p>
            <w:pPr>
              <w:jc w:val="center"/>
              <w:rPr>
                <w:rFonts w:hint="eastAsia" w:ascii="Times New Roman" w:hAnsi="Times New Roman" w:cs="Times New Roman" w:eastAsiaTheme="minorEastAsia"/>
                <w:sz w:val="24"/>
                <w:szCs w:val="24"/>
                <w:lang w:eastAsia="zh-CN"/>
              </w:rPr>
            </w:pPr>
            <w:r>
              <w:rPr>
                <w:rFonts w:hint="eastAsia"/>
                <w:sz w:val="24"/>
                <w:szCs w:val="24"/>
                <w:lang w:eastAsia="zh-CN"/>
              </w:rPr>
              <w:t>山东新中鲁中医医院有限公司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投资总概算</w:t>
            </w:r>
          </w:p>
        </w:tc>
        <w:tc>
          <w:tcPr>
            <w:tcW w:w="1140" w:type="pct"/>
            <w:vAlign w:val="center"/>
          </w:tcPr>
          <w:p>
            <w:pPr>
              <w:jc w:val="center"/>
              <w:rPr>
                <w:rFonts w:hint="eastAsia" w:ascii="Times New Roman" w:hAnsi="Times New Roman" w:cs="Times New Roman" w:eastAsiaTheme="minorEastAsia"/>
                <w:sz w:val="24"/>
                <w:szCs w:val="24"/>
                <w:highlight w:val="none"/>
                <w:lang w:eastAsia="zh-CN"/>
              </w:rPr>
            </w:pPr>
            <w:r>
              <w:rPr>
                <w:rFonts w:hint="eastAsia" w:ascii="Times New Roman" w:hAnsi="Times New Roman" w:cs="Times New Roman"/>
                <w:sz w:val="24"/>
                <w:szCs w:val="24"/>
                <w:highlight w:val="none"/>
                <w:lang w:val="en-US" w:eastAsia="zh-CN"/>
              </w:rPr>
              <w:t>1000</w:t>
            </w:r>
            <w:r>
              <w:rPr>
                <w:rFonts w:ascii="Times New Roman" w:hAnsi="Times New Roman" w:cs="Times New Roman"/>
                <w:sz w:val="24"/>
                <w:szCs w:val="24"/>
                <w:highlight w:val="none"/>
              </w:rPr>
              <w:t>万元</w:t>
            </w:r>
          </w:p>
        </w:tc>
        <w:tc>
          <w:tcPr>
            <w:tcW w:w="1172" w:type="pct"/>
            <w:vAlign w:val="center"/>
          </w:tcPr>
          <w:p>
            <w:pPr>
              <w:jc w:val="center"/>
              <w:rPr>
                <w:rFonts w:ascii="Times New Roman" w:hAnsi="Times New Roman" w:cs="Times New Roman"/>
                <w:color w:val="000000"/>
                <w:sz w:val="24"/>
                <w:szCs w:val="24"/>
                <w:highlight w:val="none"/>
              </w:rPr>
            </w:pPr>
            <w:r>
              <w:rPr>
                <w:rFonts w:ascii="Times New Roman" w:hAnsi="Times New Roman" w:cs="Times New Roman"/>
                <w:color w:val="000000"/>
                <w:sz w:val="24"/>
                <w:szCs w:val="24"/>
                <w:highlight w:val="none"/>
              </w:rPr>
              <w:t>环保投资总概算</w:t>
            </w:r>
          </w:p>
        </w:tc>
        <w:tc>
          <w:tcPr>
            <w:tcW w:w="639" w:type="pct"/>
            <w:vAlign w:val="center"/>
          </w:tcPr>
          <w:p>
            <w:pPr>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8</w:t>
            </w:r>
            <w:r>
              <w:rPr>
                <w:rFonts w:ascii="Times New Roman" w:hAnsi="Times New Roman" w:cs="Times New Roman"/>
                <w:sz w:val="24"/>
                <w:szCs w:val="24"/>
                <w:highlight w:val="none"/>
              </w:rPr>
              <w:t>万元</w:t>
            </w:r>
          </w:p>
        </w:tc>
        <w:tc>
          <w:tcPr>
            <w:tcW w:w="487"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比例</w:t>
            </w:r>
          </w:p>
        </w:tc>
        <w:tc>
          <w:tcPr>
            <w:tcW w:w="420" w:type="pct"/>
            <w:vAlign w:val="center"/>
          </w:tcPr>
          <w:p>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0.8</w:t>
            </w:r>
            <w:r>
              <w:rPr>
                <w:rFonts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实际总投资</w:t>
            </w:r>
          </w:p>
        </w:tc>
        <w:tc>
          <w:tcPr>
            <w:tcW w:w="1140" w:type="pct"/>
            <w:vAlign w:val="center"/>
          </w:tcPr>
          <w:p>
            <w:pPr>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1000</w:t>
            </w:r>
            <w:r>
              <w:rPr>
                <w:rFonts w:ascii="Times New Roman" w:hAnsi="Times New Roman" w:cs="Times New Roman"/>
                <w:sz w:val="24"/>
                <w:szCs w:val="24"/>
                <w:highlight w:val="none"/>
              </w:rPr>
              <w:t>万元</w:t>
            </w:r>
          </w:p>
        </w:tc>
        <w:tc>
          <w:tcPr>
            <w:tcW w:w="1172" w:type="pct"/>
            <w:vAlign w:val="center"/>
          </w:tcPr>
          <w:p>
            <w:pPr>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rPr>
              <w:t>实际</w:t>
            </w:r>
            <w:r>
              <w:rPr>
                <w:rFonts w:ascii="Times New Roman" w:hAnsi="Times New Roman" w:cs="Times New Roman"/>
                <w:sz w:val="24"/>
                <w:szCs w:val="24"/>
                <w:highlight w:val="none"/>
              </w:rPr>
              <w:t>环保投资</w:t>
            </w:r>
          </w:p>
        </w:tc>
        <w:tc>
          <w:tcPr>
            <w:tcW w:w="639" w:type="pct"/>
            <w:vAlign w:val="center"/>
          </w:tcPr>
          <w:p>
            <w:pPr>
              <w:jc w:val="center"/>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10</w:t>
            </w:r>
            <w:r>
              <w:rPr>
                <w:rFonts w:ascii="Times New Roman" w:hAnsi="Times New Roman" w:cs="Times New Roman"/>
                <w:sz w:val="24"/>
                <w:szCs w:val="24"/>
                <w:highlight w:val="none"/>
              </w:rPr>
              <w:t>万元</w:t>
            </w:r>
          </w:p>
        </w:tc>
        <w:tc>
          <w:tcPr>
            <w:tcW w:w="487" w:type="pct"/>
            <w:vAlign w:val="center"/>
          </w:tcPr>
          <w:p>
            <w:pPr>
              <w:jc w:val="center"/>
              <w:rPr>
                <w:rFonts w:ascii="Times New Roman" w:hAnsi="Times New Roman" w:cs="Times New Roman"/>
                <w:sz w:val="24"/>
                <w:szCs w:val="24"/>
              </w:rPr>
            </w:pPr>
            <w:r>
              <w:rPr>
                <w:rFonts w:ascii="Times New Roman" w:hAnsi="Times New Roman" w:cs="Times New Roman"/>
                <w:sz w:val="24"/>
                <w:szCs w:val="24"/>
              </w:rPr>
              <w:t>比例</w:t>
            </w:r>
          </w:p>
        </w:tc>
        <w:tc>
          <w:tcPr>
            <w:tcW w:w="420" w:type="pct"/>
            <w:vAlign w:val="center"/>
          </w:tcPr>
          <w:p>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w:t>
            </w:r>
            <w:r>
              <w:rPr>
                <w:rFonts w:ascii="Times New Roman" w:hAnsi="Times New Roman" w:cs="Times New Roman"/>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24"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验收监测依据</w:t>
            </w:r>
          </w:p>
        </w:tc>
        <w:tc>
          <w:tcPr>
            <w:tcW w:w="3860" w:type="pct"/>
            <w:gridSpan w:val="5"/>
            <w:vAlign w:val="center"/>
          </w:tcPr>
          <w:p>
            <w:pPr>
              <w:spacing w:line="400" w:lineRule="exact"/>
              <w:rPr>
                <w:rFonts w:ascii="Times New Roman" w:hAnsi="Times New Roman" w:cs="Times New Roman"/>
                <w:sz w:val="24"/>
                <w:szCs w:val="24"/>
              </w:rPr>
            </w:pPr>
            <w:r>
              <w:rPr>
                <w:rFonts w:ascii="Times New Roman" w:hAnsi="Times New Roman" w:cs="Times New Roman"/>
                <w:sz w:val="24"/>
                <w:szCs w:val="24"/>
              </w:rPr>
              <w:t>1、国务院令（2017）年第682号《建设项目环境保护管理条例》；</w:t>
            </w:r>
          </w:p>
          <w:p>
            <w:pPr>
              <w:spacing w:line="400" w:lineRule="exac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2、生态环境部公告2018年 第9号，《关于发布&lt;建设项目竣工环境保护验收技术指南污染影响类&gt;的公告》（2018.5.15）；</w:t>
            </w:r>
          </w:p>
          <w:p>
            <w:pPr>
              <w:spacing w:line="400" w:lineRule="exac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r>
              <w:rPr>
                <w:rFonts w:ascii="Times New Roman" w:hAnsi="Times New Roman" w:cs="Times New Roman"/>
                <w:sz w:val="24"/>
              </w:rPr>
              <w:t>环境保护部国环规环评[2017]4号，《建设项目竣工环境保护验收暂行办法》（2017.11.20）</w:t>
            </w:r>
            <w:r>
              <w:rPr>
                <w:rFonts w:ascii="Times New Roman" w:hAnsi="Times New Roman" w:cs="Times New Roman"/>
                <w:sz w:val="24"/>
                <w:szCs w:val="24"/>
              </w:rPr>
              <w:t>；</w:t>
            </w:r>
          </w:p>
          <w:p>
            <w:pPr>
              <w:spacing w:line="400" w:lineRule="exact"/>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4、环境保护部办公厅环办[2015]52号，《关于印发环评管理中部分行业建设项目重大变动清单的通知》</w:t>
            </w:r>
            <w:r>
              <w:rPr>
                <w:rFonts w:ascii="Times New Roman" w:hAnsi="Times New Roman" w:cs="Times New Roman"/>
                <w:sz w:val="24"/>
                <w:szCs w:val="24"/>
              </w:rPr>
              <w:t>；</w:t>
            </w:r>
          </w:p>
          <w:p>
            <w:pPr>
              <w:spacing w:line="400" w:lineRule="exact"/>
              <w:rPr>
                <w:rFonts w:ascii="Times New Roman" w:hAnsi="Times New Roman" w:cs="Times New Roman"/>
                <w:sz w:val="24"/>
                <w:szCs w:val="24"/>
              </w:rPr>
            </w:pPr>
            <w:r>
              <w:rPr>
                <w:rFonts w:ascii="Times New Roman" w:hAnsi="Times New Roman" w:cs="Times New Roman"/>
                <w:sz w:val="24"/>
                <w:szCs w:val="24"/>
              </w:rPr>
              <w:t>5、</w:t>
            </w:r>
            <w:r>
              <w:rPr>
                <w:rFonts w:hint="eastAsia" w:ascii="Times New Roman" w:hAnsi="Times New Roman" w:cs="Times New Roman"/>
                <w:sz w:val="24"/>
                <w:szCs w:val="24"/>
              </w:rPr>
              <w:t>环境保护部办公厅环办环评[2018]6号，《环保部关于印发制浆造纸等十四个行业建设项目重大变动清单的通知》；</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6、</w:t>
            </w:r>
            <w:r>
              <w:rPr>
                <w:rFonts w:hint="eastAsia" w:ascii="Times New Roman" w:hAnsi="Times New Roman" w:cs="Times New Roman"/>
                <w:sz w:val="24"/>
                <w:szCs w:val="24"/>
                <w:lang w:val="zh-CN"/>
              </w:rPr>
              <w:t>《污染影响类建设项目重大变动清单（试行）的通知》（环办环评函【2020】688号）</w:t>
            </w:r>
            <w:r>
              <w:rPr>
                <w:rFonts w:hint="eastAsia" w:ascii="Times New Roman" w:hAnsi="Times New Roman" w:cs="Times New Roman"/>
                <w:sz w:val="24"/>
                <w:szCs w:val="24"/>
              </w:rPr>
              <w: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7</w:t>
            </w:r>
            <w:r>
              <w:rPr>
                <w:rFonts w:ascii="Times New Roman" w:hAnsi="Times New Roman" w:cs="Times New Roman"/>
                <w:sz w:val="24"/>
                <w:szCs w:val="24"/>
              </w:rPr>
              <w:t>、《</w:t>
            </w:r>
            <w:r>
              <w:rPr>
                <w:rFonts w:hint="eastAsia" w:ascii="Times New Roman" w:hAnsi="Times New Roman" w:cs="Times New Roman"/>
                <w:sz w:val="24"/>
                <w:szCs w:val="24"/>
                <w:lang w:eastAsia="zh-CN"/>
              </w:rPr>
              <w:t>山东新中鲁中医医院有限公司新建中医医院项目</w:t>
            </w:r>
            <w:r>
              <w:rPr>
                <w:rFonts w:ascii="Times New Roman" w:hAnsi="Times New Roman" w:cs="Times New Roman"/>
                <w:sz w:val="24"/>
                <w:szCs w:val="24"/>
              </w:rPr>
              <w:t>环境影响报告表》</w:t>
            </w:r>
            <w:r>
              <w:rPr>
                <w:rFonts w:hint="eastAsia" w:ascii="Times New Roman" w:hAnsi="Times New Roman" w:cs="Times New Roman"/>
                <w:sz w:val="24"/>
                <w:szCs w:val="24"/>
              </w:rPr>
              <w:t>（202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7</w:t>
            </w:r>
            <w:r>
              <w:rPr>
                <w:rFonts w:hint="eastAsia" w:ascii="Times New Roman" w:hAnsi="Times New Roman" w:cs="Times New Roman"/>
                <w:sz w:val="24"/>
                <w:szCs w:val="24"/>
              </w:rPr>
              <w:t>）</w:t>
            </w:r>
            <w:r>
              <w:rPr>
                <w:rFonts w:ascii="Times New Roman" w:hAnsi="Times New Roman" w:cs="Times New Roman"/>
                <w:sz w:val="24"/>
                <w:szCs w:val="24"/>
              </w:rPr>
              <w: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8</w:t>
            </w:r>
            <w:r>
              <w:rPr>
                <w:rFonts w:ascii="Times New Roman" w:hAnsi="Times New Roman" w:cs="Times New Roman"/>
                <w:sz w:val="24"/>
                <w:szCs w:val="24"/>
              </w:rPr>
              <w:t>、</w:t>
            </w:r>
            <w:r>
              <w:rPr>
                <w:rFonts w:hint="eastAsia" w:ascii="Times New Roman" w:hAnsi="Times New Roman" w:cs="Times New Roman"/>
                <w:sz w:val="24"/>
                <w:szCs w:val="24"/>
              </w:rPr>
              <w:t>济南市生态环境局</w:t>
            </w:r>
            <w:r>
              <w:rPr>
                <w:rFonts w:ascii="Times New Roman" w:hAnsi="Times New Roman" w:cs="Times New Roman"/>
                <w:sz w:val="24"/>
                <w:szCs w:val="24"/>
              </w:rPr>
              <w:t>《</w:t>
            </w:r>
            <w:r>
              <w:rPr>
                <w:rFonts w:hint="eastAsia" w:ascii="Times New Roman" w:hAnsi="Times New Roman" w:cs="Times New Roman"/>
                <w:sz w:val="24"/>
                <w:szCs w:val="24"/>
                <w:lang w:eastAsia="zh-CN"/>
              </w:rPr>
              <w:t>山东新中鲁中医医院有限公司新建中医医院项目</w:t>
            </w:r>
            <w:r>
              <w:rPr>
                <w:rFonts w:ascii="Times New Roman" w:hAnsi="Times New Roman" w:cs="Times New Roman"/>
                <w:sz w:val="24"/>
                <w:szCs w:val="24"/>
              </w:rPr>
              <w:t>环境影响报告表》（</w:t>
            </w:r>
            <w:r>
              <w:rPr>
                <w:rFonts w:hint="eastAsia" w:ascii="Times New Roman" w:hAnsi="Times New Roman" w:cs="Times New Roman"/>
                <w:sz w:val="24"/>
                <w:szCs w:val="24"/>
              </w:rPr>
              <w:t>历下环建审（报告表）</w:t>
            </w:r>
            <w:r>
              <w:rPr>
                <w:rFonts w:ascii="Times New Roman" w:hAnsi="Times New Roman" w:cs="Times New Roman"/>
                <w:sz w:val="24"/>
                <w:szCs w:val="24"/>
              </w:rPr>
              <w:t>[20</w:t>
            </w:r>
            <w:r>
              <w:rPr>
                <w:rFonts w:hint="eastAsia" w:ascii="Times New Roman" w:hAnsi="Times New Roman" w:cs="Times New Roman"/>
                <w:sz w:val="24"/>
                <w:szCs w:val="24"/>
              </w:rPr>
              <w:t>2</w:t>
            </w:r>
            <w:r>
              <w:rPr>
                <w:rFonts w:hint="eastAsia" w:ascii="Times New Roman" w:hAnsi="Times New Roman" w:cs="Times New Roman"/>
                <w:sz w:val="24"/>
                <w:szCs w:val="24"/>
                <w:lang w:val="en-US" w:eastAsia="zh-CN"/>
              </w:rPr>
              <w:t>2</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号）（</w:t>
            </w:r>
            <w:r>
              <w:rPr>
                <w:rFonts w:hint="eastAsia" w:ascii="Times New Roman" w:hAnsi="Times New Roman" w:cs="Times New Roman"/>
                <w:sz w:val="24"/>
                <w:szCs w:val="24"/>
              </w:rPr>
              <w:t>202</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7</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11</w:t>
            </w:r>
            <w:r>
              <w:rPr>
                <w:rFonts w:ascii="Times New Roman" w:hAnsi="Times New Roman" w:cs="Times New Roman"/>
                <w:sz w:val="24"/>
                <w:szCs w:val="24"/>
              </w:rPr>
              <w:t>）；</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9</w:t>
            </w:r>
            <w:r>
              <w:rPr>
                <w:rFonts w:ascii="Times New Roman" w:hAnsi="Times New Roman" w:cs="Times New Roman"/>
                <w:sz w:val="24"/>
                <w:szCs w:val="24"/>
              </w:rPr>
              <w:t>、</w:t>
            </w:r>
            <w:r>
              <w:rPr>
                <w:rFonts w:hint="eastAsia" w:ascii="Times New Roman" w:hAnsi="Times New Roman" w:cs="Times New Roman"/>
                <w:sz w:val="24"/>
                <w:szCs w:val="24"/>
                <w:lang w:eastAsia="zh-CN"/>
              </w:rPr>
              <w:t>山东新中鲁中医医院有限公司新建中医医院项目</w:t>
            </w:r>
            <w:r>
              <w:rPr>
                <w:rFonts w:ascii="Times New Roman" w:hAnsi="Times New Roman" w:cs="Times New Roman"/>
                <w:sz w:val="24"/>
                <w:szCs w:val="24"/>
              </w:rPr>
              <w:t>验收监测方案；</w:t>
            </w:r>
          </w:p>
          <w:p>
            <w:pPr>
              <w:spacing w:line="400" w:lineRule="exact"/>
              <w:rPr>
                <w:rFonts w:ascii="Times New Roman" w:hAnsi="Times New Roman" w:cs="Times New Roman"/>
                <w:sz w:val="24"/>
                <w:szCs w:val="24"/>
              </w:rPr>
            </w:pPr>
            <w:r>
              <w:rPr>
                <w:rFonts w:hint="eastAsia" w:ascii="Times New Roman" w:hAnsi="Times New Roman" w:cs="Times New Roman"/>
                <w:sz w:val="24"/>
                <w:szCs w:val="24"/>
              </w:rPr>
              <w:t>10</w:t>
            </w:r>
            <w:r>
              <w:rPr>
                <w:rFonts w:ascii="Times New Roman" w:hAnsi="Times New Roman" w:cs="Times New Roman"/>
                <w:sz w:val="24"/>
                <w:szCs w:val="24"/>
              </w:rPr>
              <w:t>、</w:t>
            </w:r>
            <w:r>
              <w:rPr>
                <w:rFonts w:hint="eastAsia" w:ascii="Times New Roman" w:hAnsi="Times New Roman" w:cs="Times New Roman"/>
                <w:sz w:val="24"/>
                <w:szCs w:val="24"/>
                <w:lang w:eastAsia="zh-CN"/>
              </w:rPr>
              <w:t>山东新中鲁中医医院有限公司新建中医医院项目</w:t>
            </w:r>
            <w:r>
              <w:rPr>
                <w:rFonts w:ascii="Times New Roman" w:hAnsi="Times New Roman" w:cs="Times New Roman"/>
                <w:sz w:val="24"/>
                <w:szCs w:val="24"/>
              </w:rPr>
              <w:t>验收监测委托函；</w:t>
            </w:r>
          </w:p>
          <w:p>
            <w:pPr>
              <w:spacing w:line="400" w:lineRule="exact"/>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hint="eastAsia" w:ascii="Times New Roman" w:hAnsi="Times New Roman" w:cs="Times New Roman"/>
                <w:color w:val="000000"/>
                <w:sz w:val="24"/>
                <w:szCs w:val="24"/>
              </w:rPr>
              <w:t>1</w:t>
            </w:r>
            <w:r>
              <w:rPr>
                <w:rFonts w:ascii="Times New Roman" w:hAnsi="Times New Roman" w:cs="Times New Roman"/>
                <w:color w:val="000000"/>
                <w:sz w:val="24"/>
                <w:szCs w:val="24"/>
              </w:rPr>
              <w:t>、</w:t>
            </w:r>
            <w:r>
              <w:rPr>
                <w:rFonts w:hint="eastAsia" w:ascii="Times New Roman" w:hAnsi="Times New Roman" w:cs="Times New Roman"/>
                <w:sz w:val="24"/>
                <w:szCs w:val="24"/>
                <w:lang w:eastAsia="zh-CN"/>
              </w:rPr>
              <w:t>山东新中鲁中医医院有限公司新建中医医院项目</w:t>
            </w:r>
            <w:r>
              <w:rPr>
                <w:rFonts w:ascii="Times New Roman" w:hAnsi="Times New Roman" w:cs="Times New Roman"/>
                <w:sz w:val="24"/>
                <w:szCs w:val="24"/>
              </w:rPr>
              <w:t>实际建设情况。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139" w:type="pct"/>
            <w:vAlign w:val="center"/>
          </w:tcPr>
          <w:p>
            <w:pPr>
              <w:jc w:val="center"/>
              <w:rPr>
                <w:rFonts w:hint="default" w:ascii="Times New Roman" w:hAnsi="Times New Roman" w:eastAsia="华文中宋" w:cs="Times New Roman"/>
                <w:sz w:val="30"/>
              </w:rPr>
            </w:pPr>
            <w:r>
              <w:rPr>
                <w:rFonts w:hint="default" w:ascii="Times New Roman" w:hAnsi="Times New Roman" w:cs="Times New Roman"/>
                <w:sz w:val="24"/>
              </w:rPr>
              <w:t>验收监测标准</w:t>
            </w:r>
          </w:p>
          <w:p>
            <w:pPr>
              <w:jc w:val="center"/>
              <w:rPr>
                <w:rFonts w:ascii="Times New Roman" w:hAnsi="Times New Roman" w:cs="Times New Roman"/>
                <w:color w:val="000000"/>
                <w:sz w:val="24"/>
                <w:szCs w:val="24"/>
              </w:rPr>
            </w:pPr>
            <w:r>
              <w:rPr>
                <w:rFonts w:hint="default" w:ascii="Times New Roman" w:hAnsi="Times New Roman" w:cs="Times New Roman"/>
                <w:sz w:val="24"/>
              </w:rPr>
              <w:t>标号</w:t>
            </w:r>
          </w:p>
        </w:tc>
        <w:tc>
          <w:tcPr>
            <w:tcW w:w="3860" w:type="pct"/>
            <w:gridSpan w:val="5"/>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105" w:leftChars="50" w:right="0" w:rightChars="0" w:firstLine="0" w:firstLineChars="0"/>
              <w:jc w:val="both"/>
              <w:textAlignment w:val="auto"/>
              <w:outlineLvl w:val="9"/>
              <w:rPr>
                <w:rFonts w:hint="default" w:ascii="Times New Roman" w:hAnsi="Times New Roman" w:eastAsia="宋体" w:cs="Times New Roman"/>
                <w:kern w:val="0"/>
                <w:sz w:val="24"/>
                <w:lang w:val="en-US" w:eastAsia="zh-CN" w:bidi="ar-SA"/>
              </w:rPr>
            </w:pPr>
            <w:r>
              <w:rPr>
                <w:rFonts w:hint="default" w:ascii="Times New Roman" w:hAnsi="Times New Roman" w:eastAsia="宋体" w:cs="Times New Roman"/>
                <w:kern w:val="0"/>
                <w:sz w:val="24"/>
                <w:lang w:val="en-US" w:eastAsia="zh-CN" w:bidi="ar-SA"/>
              </w:rPr>
              <w:t>1、废气</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环境空气和废气 氨的测定 纳氏试剂分光光度法</w:t>
            </w:r>
            <w:r>
              <w:rPr>
                <w:rFonts w:hint="default" w:ascii="Times New Roman" w:hAnsi="Times New Roman" w:eastAsia="宋体" w:cs="Times New Roman"/>
                <w:color w:val="000000"/>
                <w:sz w:val="24"/>
                <w:szCs w:val="24"/>
                <w:highlight w:val="none"/>
                <w:lang w:val="en-US" w:eastAsia="zh-CN"/>
              </w:rPr>
              <w:t xml:space="preserve">》（HJ </w:t>
            </w:r>
            <w:r>
              <w:rPr>
                <w:rFonts w:hint="eastAsia" w:ascii="Times New Roman" w:hAnsi="Times New Roman" w:eastAsia="宋体" w:cs="Times New Roman"/>
                <w:color w:val="000000"/>
                <w:sz w:val="24"/>
                <w:szCs w:val="24"/>
                <w:highlight w:val="none"/>
                <w:lang w:val="en-US" w:eastAsia="zh-CN"/>
              </w:rPr>
              <w:t>533-2009</w:t>
            </w:r>
            <w:r>
              <w:rPr>
                <w:rFonts w:hint="default" w:ascii="Times New Roman" w:hAnsi="Times New Roman" w:eastAsia="宋体" w:cs="Times New Roman"/>
                <w:color w:val="00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《空气和废气监测分析方法》第四版(增补版）亚甲蓝分光光度法</w:t>
            </w:r>
            <w:r>
              <w:rPr>
                <w:rFonts w:hint="default" w:ascii="Times New Roman" w:hAnsi="Times New Roman" w:eastAsia="宋体" w:cs="Times New Roman"/>
                <w:color w:val="00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w:t>
            </w:r>
            <w:r>
              <w:rPr>
                <w:rFonts w:hint="eastAsia" w:ascii="Times New Roman" w:hAnsi="Times New Roman" w:eastAsia="宋体" w:cs="Times New Roman"/>
                <w:color w:val="000000"/>
                <w:sz w:val="24"/>
                <w:szCs w:val="24"/>
                <w:highlight w:val="none"/>
                <w:lang w:val="en-US" w:eastAsia="zh-CN"/>
              </w:rPr>
              <w:t>空气质量 恶臭的测定 三点比较式臭袋法</w:t>
            </w:r>
            <w:r>
              <w:rPr>
                <w:rFonts w:hint="default" w:ascii="Times New Roman" w:hAnsi="Times New Roman" w:eastAsia="宋体" w:cs="Times New Roman"/>
                <w:color w:val="000000"/>
                <w:sz w:val="24"/>
                <w:szCs w:val="24"/>
                <w:highlight w:val="none"/>
                <w:lang w:val="en-US" w:eastAsia="zh-CN"/>
              </w:rPr>
              <w:t>》（GB/T</w:t>
            </w:r>
            <w:r>
              <w:rPr>
                <w:rFonts w:hint="eastAsia" w:ascii="Times New Roman" w:hAnsi="Times New Roman" w:eastAsia="宋体" w:cs="Times New Roman"/>
                <w:color w:val="000000"/>
                <w:sz w:val="24"/>
                <w:szCs w:val="24"/>
                <w:highlight w:val="none"/>
                <w:lang w:val="en-US" w:eastAsia="zh-CN"/>
              </w:rPr>
              <w:t>14675-1993</w:t>
            </w:r>
            <w:r>
              <w:rPr>
                <w:rFonts w:hint="default" w:ascii="Times New Roman" w:hAnsi="Times New Roman" w:eastAsia="宋体" w:cs="Times New Roman"/>
                <w:color w:val="00000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《大气污染物无组织排放监测技术导则》（HJ/T55-2000）；</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105" w:leftChars="50" w:right="0" w:rightChars="0" w:firstLine="0" w:firstLineChars="0"/>
              <w:jc w:val="both"/>
              <w:textAlignment w:val="auto"/>
              <w:outlineLvl w:val="9"/>
              <w:rPr>
                <w:rFonts w:hint="default" w:ascii="Times New Roman" w:hAnsi="Times New Roman" w:eastAsia="宋体" w:cs="Times New Roman"/>
                <w:kern w:val="0"/>
                <w:sz w:val="24"/>
                <w:lang w:val="en-US" w:eastAsia="zh-CN" w:bidi="ar-SA"/>
              </w:rPr>
            </w:pPr>
            <w:r>
              <w:rPr>
                <w:rFonts w:hint="default" w:ascii="Times New Roman" w:hAnsi="Times New Roman" w:eastAsia="宋体" w:cs="Times New Roman"/>
                <w:kern w:val="0"/>
                <w:sz w:val="24"/>
                <w:lang w:val="en-US" w:eastAsia="zh-CN" w:bidi="ar-SA"/>
              </w:rPr>
              <w:t>2、废水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水质 pH值的测定 电极法</w:t>
            </w:r>
            <w:r>
              <w:rPr>
                <w:rFonts w:hint="default" w:ascii="Times New Roman" w:hAnsi="Times New Roman" w:eastAsia="宋体" w:cs="Times New Roman"/>
                <w:b w:val="0"/>
                <w:bCs/>
                <w:color w:val="000000"/>
                <w:sz w:val="24"/>
                <w:szCs w:val="24"/>
                <w:lang w:eastAsia="zh-CN"/>
              </w:rPr>
              <w:t>》（</w:t>
            </w:r>
            <w:r>
              <w:rPr>
                <w:rFonts w:hint="eastAsia" w:ascii="Times New Roman" w:hAnsi="Times New Roman" w:eastAsia="宋体" w:cs="Times New Roman"/>
                <w:b w:val="0"/>
                <w:bCs/>
                <w:color w:val="000000"/>
                <w:sz w:val="24"/>
                <w:szCs w:val="24"/>
                <w:lang w:val="en-US" w:eastAsia="zh-CN"/>
              </w:rPr>
              <w:t xml:space="preserve">HJ </w:t>
            </w:r>
            <w:r>
              <w:rPr>
                <w:rFonts w:hint="default" w:ascii="Times New Roman" w:hAnsi="Times New Roman" w:eastAsia="宋体" w:cs="Times New Roman"/>
                <w:b w:val="0"/>
                <w:bCs/>
                <w:color w:val="000000"/>
                <w:sz w:val="24"/>
                <w:szCs w:val="24"/>
                <w:lang w:val="en-US" w:eastAsia="zh-CN"/>
              </w:rPr>
              <w:t>1147-2020</w:t>
            </w:r>
            <w:r>
              <w:rPr>
                <w:rFonts w:hint="default" w:ascii="Times New Roman" w:hAnsi="Times New Roman" w:eastAsia="宋体" w:cs="Times New Roman"/>
                <w:b w:val="0"/>
                <w:bCs/>
                <w:color w:val="00000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000000"/>
                <w:sz w:val="24"/>
                <w:szCs w:val="24"/>
                <w:lang w:eastAsia="zh-CN"/>
              </w:rPr>
            </w:pPr>
            <w:r>
              <w:rPr>
                <w:rFonts w:hint="default" w:ascii="Times New Roman" w:hAnsi="Times New Roman" w:eastAsia="宋体" w:cs="Times New Roman"/>
                <w:b w:val="0"/>
                <w:bCs/>
                <w:color w:val="000000"/>
                <w:sz w:val="24"/>
                <w:szCs w:val="24"/>
                <w:lang w:eastAsia="zh-CN"/>
              </w:rPr>
              <w:t>《水质</w:t>
            </w:r>
            <w:r>
              <w:rPr>
                <w:rFonts w:hint="default" w:ascii="Times New Roman" w:hAnsi="Times New Roman" w:eastAsia="宋体" w:cs="Times New Roman"/>
                <w:b w:val="0"/>
                <w:bCs/>
                <w:color w:val="000000"/>
                <w:sz w:val="24"/>
                <w:szCs w:val="24"/>
                <w:lang w:val="en-US" w:eastAsia="zh-CN"/>
              </w:rPr>
              <w:t xml:space="preserve"> </w:t>
            </w:r>
            <w:r>
              <w:rPr>
                <w:rFonts w:hint="default" w:ascii="Times New Roman" w:hAnsi="Times New Roman" w:eastAsia="宋体" w:cs="Times New Roman"/>
                <w:b w:val="0"/>
                <w:bCs/>
                <w:color w:val="000000"/>
                <w:sz w:val="24"/>
                <w:szCs w:val="24"/>
                <w:lang w:eastAsia="zh-CN"/>
              </w:rPr>
              <w:t>化学需氧量的测定 重铬酸盐法》（HJ 828-2017）；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000000"/>
                <w:sz w:val="24"/>
                <w:szCs w:val="24"/>
                <w:lang w:eastAsia="zh-CN"/>
              </w:rPr>
            </w:pPr>
            <w:r>
              <w:rPr>
                <w:rFonts w:hint="default" w:ascii="Times New Roman" w:hAnsi="Times New Roman" w:eastAsia="宋体" w:cs="Times New Roman"/>
                <w:b w:val="0"/>
                <w:bCs/>
                <w:color w:val="000000"/>
                <w:sz w:val="24"/>
                <w:szCs w:val="24"/>
                <w:lang w:eastAsia="zh-CN"/>
              </w:rPr>
              <w:t>《水质 氨氮的测定 纳氏试剂分光光度法》（HJ 535-2009）；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000000"/>
                <w:sz w:val="24"/>
                <w:szCs w:val="24"/>
                <w:lang w:eastAsia="zh-CN"/>
              </w:rPr>
            </w:pPr>
            <w:r>
              <w:rPr>
                <w:rFonts w:hint="default" w:ascii="Times New Roman" w:hAnsi="Times New Roman" w:eastAsia="宋体" w:cs="Times New Roman"/>
                <w:b w:val="0"/>
                <w:bCs/>
                <w:color w:val="000000"/>
                <w:sz w:val="24"/>
                <w:szCs w:val="24"/>
                <w:lang w:eastAsia="zh-CN"/>
              </w:rPr>
              <w:t>《水质 悬浮物的测定 重量法》（GB</w:t>
            </w:r>
            <w:r>
              <w:rPr>
                <w:rFonts w:hint="default" w:ascii="Times New Roman" w:hAnsi="Times New Roman" w:eastAsia="宋体" w:cs="Times New Roman"/>
                <w:b w:val="0"/>
                <w:bCs/>
                <w:color w:val="000000"/>
                <w:sz w:val="24"/>
                <w:szCs w:val="24"/>
                <w:lang w:val="en-US" w:eastAsia="zh-CN"/>
              </w:rPr>
              <w:t xml:space="preserve">/T </w:t>
            </w:r>
            <w:r>
              <w:rPr>
                <w:rFonts w:hint="default" w:ascii="Times New Roman" w:hAnsi="Times New Roman" w:eastAsia="宋体" w:cs="Times New Roman"/>
                <w:b w:val="0"/>
                <w:bCs/>
                <w:color w:val="000000"/>
                <w:sz w:val="24"/>
                <w:szCs w:val="24"/>
                <w:lang w:eastAsia="zh-CN"/>
              </w:rPr>
              <w:t>11901-19</w:t>
            </w:r>
            <w:r>
              <w:rPr>
                <w:rFonts w:hint="eastAsia" w:ascii="Times New Roman" w:hAnsi="Times New Roman" w:eastAsia="宋体" w:cs="Times New Roman"/>
                <w:b w:val="0"/>
                <w:bCs/>
                <w:color w:val="000000"/>
                <w:sz w:val="24"/>
                <w:szCs w:val="24"/>
                <w:lang w:val="en-US" w:eastAsia="zh-CN"/>
              </w:rPr>
              <w:t>8</w:t>
            </w:r>
            <w:r>
              <w:rPr>
                <w:rFonts w:hint="default" w:ascii="Times New Roman" w:hAnsi="Times New Roman" w:eastAsia="宋体" w:cs="Times New Roman"/>
                <w:b w:val="0"/>
                <w:bCs/>
                <w:color w:val="000000"/>
                <w:sz w:val="24"/>
                <w:szCs w:val="24"/>
                <w:lang w:eastAsia="zh-CN"/>
              </w:rPr>
              <w:t>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000000"/>
                <w:sz w:val="24"/>
                <w:szCs w:val="24"/>
                <w:lang w:eastAsia="zh-CN"/>
              </w:rPr>
            </w:pP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水质 五日生化需氧量（BOD</w:t>
            </w:r>
            <w:r>
              <w:rPr>
                <w:rFonts w:hint="default" w:ascii="Times New Roman" w:hAnsi="Times New Roman" w:eastAsia="宋体" w:cs="Times New Roman"/>
                <w:b w:val="0"/>
                <w:bCs/>
                <w:color w:val="000000"/>
                <w:sz w:val="24"/>
                <w:szCs w:val="24"/>
                <w:vertAlign w:val="subscript"/>
                <w:lang w:val="en-US" w:eastAsia="zh-CN"/>
              </w:rPr>
              <w:t>5</w:t>
            </w:r>
            <w:r>
              <w:rPr>
                <w:rFonts w:hint="default" w:ascii="Times New Roman" w:hAnsi="Times New Roman" w:eastAsia="宋体" w:cs="Times New Roman"/>
                <w:b w:val="0"/>
                <w:bCs/>
                <w:color w:val="000000"/>
                <w:sz w:val="24"/>
                <w:szCs w:val="24"/>
                <w:lang w:val="en-US" w:eastAsia="zh-CN"/>
              </w:rPr>
              <w:t>）的测定 稀释与接种法</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HJ 505-2009</w:t>
            </w:r>
            <w:r>
              <w:rPr>
                <w:rFonts w:hint="default" w:ascii="Times New Roman" w:hAnsi="Times New Roman" w:eastAsia="宋体" w:cs="Times New Roman"/>
                <w:b w:val="0"/>
                <w:bCs/>
                <w:color w:val="00000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color w:val="000000"/>
                <w:sz w:val="24"/>
                <w:szCs w:val="24"/>
                <w:lang w:eastAsia="zh-CN"/>
              </w:rPr>
            </w:pP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水质 总大肠菌群和粪大肠菌群的测定 纸片快速法</w:t>
            </w:r>
            <w:r>
              <w:rPr>
                <w:rFonts w:hint="default" w:ascii="Times New Roman" w:hAnsi="Times New Roman" w:eastAsia="宋体" w:cs="Times New Roman"/>
                <w:b w:val="0"/>
                <w:bCs/>
                <w:color w:val="000000"/>
                <w:sz w:val="24"/>
                <w:szCs w:val="24"/>
                <w:lang w:eastAsia="zh-CN"/>
              </w:rPr>
              <w:t>》（</w:t>
            </w:r>
            <w:r>
              <w:rPr>
                <w:rFonts w:hint="default" w:ascii="Times New Roman" w:hAnsi="Times New Roman" w:eastAsia="宋体" w:cs="Times New Roman"/>
                <w:b w:val="0"/>
                <w:bCs/>
                <w:color w:val="000000"/>
                <w:sz w:val="24"/>
                <w:szCs w:val="24"/>
                <w:lang w:val="en-US" w:eastAsia="zh-CN"/>
              </w:rPr>
              <w:t>HJ 755-2015</w:t>
            </w:r>
            <w:r>
              <w:rPr>
                <w:rFonts w:hint="default" w:ascii="Times New Roman" w:hAnsi="Times New Roman" w:eastAsia="宋体" w:cs="Times New Roman"/>
                <w:b w:val="0"/>
                <w:bCs/>
                <w:color w:val="000000"/>
                <w:sz w:val="24"/>
                <w:szCs w:val="24"/>
                <w:lang w:eastAsia="zh-CN"/>
              </w:rPr>
              <w:t>）。</w:t>
            </w:r>
          </w:p>
          <w:p>
            <w:pPr>
              <w:widowControl w:val="0"/>
              <w:spacing w:after="120"/>
              <w:ind w:left="0" w:leftChars="0" w:firstLine="480" w:firstLineChars="200"/>
              <w:jc w:val="both"/>
              <w:rPr>
                <w:rFonts w:hint="default" w:ascii="Times New Roman" w:hAnsi="Times New Roman" w:eastAsia="宋体" w:cs="Times New Roman"/>
                <w:kern w:val="0"/>
                <w:sz w:val="20"/>
                <w:lang w:val="en-GB" w:eastAsia="zh-CN" w:bidi="ar-SA"/>
              </w:rPr>
            </w:pPr>
            <w:r>
              <w:rPr>
                <w:rFonts w:hint="eastAsia" w:ascii="Times New Roman" w:hAnsi="Times New Roman" w:eastAsia="宋体" w:cs="Times New Roman"/>
                <w:b w:val="0"/>
                <w:bCs/>
                <w:color w:val="000000"/>
                <w:kern w:val="0"/>
                <w:sz w:val="24"/>
                <w:szCs w:val="24"/>
                <w:lang w:val="en-GB" w:eastAsia="zh-CN" w:bidi="ar-SA"/>
              </w:rPr>
              <w:t>《</w:t>
            </w:r>
            <w:r>
              <w:rPr>
                <w:rFonts w:hint="eastAsia" w:ascii="Times New Roman" w:hAnsi="Times New Roman" w:eastAsia="宋体" w:cs="Times New Roman"/>
                <w:b w:val="0"/>
                <w:bCs/>
                <w:color w:val="000000"/>
                <w:kern w:val="0"/>
                <w:sz w:val="24"/>
                <w:szCs w:val="24"/>
                <w:lang w:val="en-US" w:eastAsia="zh-CN" w:bidi="ar-SA"/>
              </w:rPr>
              <w:t>水质 游离氯和总氯的测定 N,N-二乙基-1,4-苯二胺分光光度法</w:t>
            </w:r>
            <w:r>
              <w:rPr>
                <w:rFonts w:hint="eastAsia" w:ascii="Times New Roman" w:hAnsi="Times New Roman" w:eastAsia="宋体" w:cs="Times New Roman"/>
                <w:b w:val="0"/>
                <w:bCs/>
                <w:color w:val="000000"/>
                <w:kern w:val="0"/>
                <w:sz w:val="24"/>
                <w:szCs w:val="24"/>
                <w:lang w:val="en-GB" w:eastAsia="zh-CN" w:bidi="ar-SA"/>
              </w:rPr>
              <w:t>》（</w:t>
            </w:r>
            <w:r>
              <w:rPr>
                <w:rFonts w:hint="eastAsia" w:ascii="Times New Roman" w:hAnsi="Times New Roman" w:eastAsia="宋体" w:cs="Times New Roman"/>
                <w:b w:val="0"/>
                <w:bCs/>
                <w:color w:val="000000"/>
                <w:kern w:val="0"/>
                <w:sz w:val="24"/>
                <w:szCs w:val="24"/>
                <w:lang w:val="en-US" w:eastAsia="zh-CN" w:bidi="ar-SA"/>
              </w:rPr>
              <w:t>HJ 586-2010</w:t>
            </w:r>
            <w:r>
              <w:rPr>
                <w:rFonts w:hint="eastAsia" w:ascii="Times New Roman" w:hAnsi="Times New Roman" w:eastAsia="宋体" w:cs="Times New Roman"/>
                <w:b w:val="0"/>
                <w:bCs/>
                <w:color w:val="000000"/>
                <w:kern w:val="0"/>
                <w:sz w:val="24"/>
                <w:szCs w:val="24"/>
                <w:lang w:val="en-GB" w:eastAsia="zh-CN" w:bidi="ar-SA"/>
              </w:rPr>
              <w:t>）</w:t>
            </w:r>
          </w:p>
          <w:p>
            <w:pPr>
              <w:keepNext w:val="0"/>
              <w:keepLines w:val="0"/>
              <w:pageBreakBefore w:val="0"/>
              <w:widowControl w:val="0"/>
              <w:kinsoku/>
              <w:wordWrap/>
              <w:overflowPunct/>
              <w:topLinePunct w:val="0"/>
              <w:autoSpaceDE/>
              <w:autoSpaceDN/>
              <w:bidi w:val="0"/>
              <w:adjustRightInd/>
              <w:snapToGrid w:val="0"/>
              <w:spacing w:after="0" w:line="360" w:lineRule="auto"/>
              <w:ind w:left="105" w:leftChars="50" w:right="0" w:rightChars="0" w:firstLine="0" w:firstLineChars="0"/>
              <w:jc w:val="both"/>
              <w:textAlignment w:val="auto"/>
              <w:outlineLvl w:val="9"/>
              <w:rPr>
                <w:rFonts w:hint="default" w:ascii="Times New Roman" w:hAnsi="Times New Roman" w:eastAsia="宋体" w:cs="Times New Roman"/>
                <w:kern w:val="2"/>
                <w:sz w:val="24"/>
                <w:lang w:val="de-DE" w:eastAsia="zh-CN" w:bidi="ar-SA"/>
              </w:rPr>
            </w:pPr>
            <w:r>
              <w:rPr>
                <w:rFonts w:hint="default" w:ascii="Times New Roman" w:hAnsi="Times New Roman" w:eastAsia="宋体" w:cs="Times New Roman"/>
                <w:kern w:val="2"/>
                <w:sz w:val="24"/>
                <w:lang w:val="en-US" w:eastAsia="zh-CN" w:bidi="ar-SA"/>
              </w:rPr>
              <w:t>3、</w:t>
            </w:r>
            <w:r>
              <w:rPr>
                <w:rFonts w:hint="default" w:ascii="Times New Roman" w:hAnsi="Times New Roman" w:eastAsia="宋体" w:cs="Times New Roman"/>
                <w:kern w:val="2"/>
                <w:sz w:val="24"/>
                <w:lang w:val="de-DE" w:eastAsia="zh-CN" w:bidi="ar-SA"/>
              </w:rPr>
              <w:t>噪声</w:t>
            </w:r>
          </w:p>
          <w:p>
            <w:pPr>
              <w:keepNext w:val="0"/>
              <w:keepLines w:val="0"/>
              <w:pageBreakBefore w:val="0"/>
              <w:widowControl w:val="0"/>
              <w:kinsoku/>
              <w:wordWrap/>
              <w:overflowPunct/>
              <w:topLinePunct w:val="0"/>
              <w:autoSpaceDE/>
              <w:autoSpaceDN/>
              <w:bidi w:val="0"/>
              <w:adjustRightInd/>
              <w:snapToGrid w:val="0"/>
              <w:spacing w:line="360" w:lineRule="auto"/>
              <w:ind w:right="0" w:rightChars="0" w:firstLine="360" w:firstLineChars="150"/>
              <w:jc w:val="left"/>
              <w:textAlignment w:val="auto"/>
              <w:outlineLvl w:val="9"/>
              <w:rPr>
                <w:rFonts w:hint="default" w:ascii="Times New Roman" w:hAnsi="Times New Roman" w:eastAsia="宋体" w:cs="Times New Roman"/>
                <w:sz w:val="24"/>
                <w:szCs w:val="20"/>
              </w:rPr>
            </w:pPr>
            <w:r>
              <w:rPr>
                <w:rFonts w:hint="default" w:ascii="Times New Roman" w:hAnsi="Times New Roman" w:eastAsia="宋体" w:cs="Times New Roman"/>
                <w:sz w:val="24"/>
                <w:szCs w:val="20"/>
              </w:rPr>
              <w:t>《工业企业厂界环境噪声排放标准》（GB 12348-2008）</w:t>
            </w:r>
          </w:p>
          <w:p>
            <w:pPr>
              <w:spacing w:line="400" w:lineRule="exact"/>
              <w:ind w:firstLine="480" w:firstLineChars="200"/>
              <w:rPr>
                <w:rFonts w:ascii="Times New Roman" w:hAnsi="Times New Roman" w:cs="Times New Roman"/>
                <w:color w:val="000000"/>
                <w:sz w:val="24"/>
                <w:szCs w:val="24"/>
              </w:rPr>
            </w:pPr>
            <w:r>
              <w:rPr>
                <w:rFonts w:hint="default" w:ascii="Times New Roman" w:hAnsi="Times New Roman" w:eastAsia="宋体" w:cs="Times New Roman"/>
                <w:sz w:val="24"/>
                <w:szCs w:val="20"/>
              </w:rPr>
              <w:t>《</w:t>
            </w:r>
            <w:r>
              <w:rPr>
                <w:rFonts w:hint="default" w:ascii="Times New Roman" w:hAnsi="Times New Roman" w:eastAsia="宋体" w:cs="Times New Roman"/>
                <w:sz w:val="24"/>
                <w:szCs w:val="20"/>
                <w:lang w:val="en-US" w:eastAsia="zh-CN"/>
              </w:rPr>
              <w:t>声环境质量标准</w:t>
            </w:r>
            <w:r>
              <w:rPr>
                <w:rFonts w:hint="default" w:ascii="Times New Roman" w:hAnsi="Times New Roman" w:eastAsia="宋体" w:cs="Times New Roman"/>
                <w:sz w:val="24"/>
                <w:szCs w:val="20"/>
              </w:rPr>
              <w:t>》（</w:t>
            </w:r>
            <w:r>
              <w:rPr>
                <w:rFonts w:hint="default" w:ascii="Times New Roman" w:hAnsi="Times New Roman" w:eastAsia="宋体" w:cs="Times New Roman"/>
                <w:sz w:val="24"/>
                <w:szCs w:val="20"/>
                <w:lang w:val="en-US" w:eastAsia="zh-CN"/>
              </w:rPr>
              <w:t>GB 3096-2008</w:t>
            </w:r>
            <w:r>
              <w:rPr>
                <w:rFonts w:hint="default" w:ascii="Times New Roman" w:hAnsi="Times New Roman" w:eastAsia="宋体" w:cs="Times New Roman"/>
                <w:sz w:val="24"/>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1" w:hRule="atLeast"/>
          <w:jc w:val="center"/>
        </w:trPr>
        <w:tc>
          <w:tcPr>
            <w:tcW w:w="1139" w:type="pct"/>
            <w:vAlign w:val="center"/>
          </w:tcPr>
          <w:p>
            <w:pPr>
              <w:jc w:val="center"/>
              <w:rPr>
                <w:rFonts w:ascii="Times New Roman" w:hAnsi="Times New Roman" w:cs="Times New Roman"/>
                <w:color w:val="000000"/>
                <w:sz w:val="24"/>
                <w:szCs w:val="24"/>
              </w:rPr>
            </w:pPr>
            <w:r>
              <w:rPr>
                <w:rFonts w:ascii="Times New Roman" w:hAnsi="Times New Roman" w:cs="Times New Roman"/>
                <w:color w:val="000000"/>
                <w:sz w:val="24"/>
                <w:szCs w:val="24"/>
              </w:rPr>
              <w:t>验收监测评价标准、标号、级别、限值</w:t>
            </w:r>
          </w:p>
        </w:tc>
        <w:tc>
          <w:tcPr>
            <w:tcW w:w="3860" w:type="pct"/>
            <w:gridSpan w:val="5"/>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污水处理设施无组织 H</w:t>
            </w:r>
            <w:r>
              <w:rPr>
                <w:rFonts w:hint="default" w:ascii="Times New Roman" w:hAnsi="Times New Roman" w:eastAsia="宋体" w:cs="Times New Roman"/>
                <w:color w:val="000000"/>
                <w:sz w:val="24"/>
                <w:szCs w:val="24"/>
                <w:highlight w:val="none"/>
                <w:vertAlign w:val="subscript"/>
                <w:lang w:val="en-US" w:eastAsia="zh-CN"/>
              </w:rPr>
              <w:t>2</w:t>
            </w:r>
            <w:r>
              <w:rPr>
                <w:rFonts w:hint="default" w:ascii="Times New Roman" w:hAnsi="Times New Roman" w:eastAsia="宋体" w:cs="Times New Roman"/>
                <w:color w:val="000000"/>
                <w:sz w:val="24"/>
                <w:szCs w:val="24"/>
                <w:highlight w:val="none"/>
                <w:lang w:val="en-US" w:eastAsia="zh-CN"/>
              </w:rPr>
              <w:t>S、NH</w:t>
            </w:r>
            <w:r>
              <w:rPr>
                <w:rFonts w:hint="default" w:ascii="Times New Roman" w:hAnsi="Times New Roman" w:eastAsia="宋体" w:cs="Times New Roman"/>
                <w:color w:val="000000"/>
                <w:sz w:val="24"/>
                <w:szCs w:val="24"/>
                <w:highlight w:val="none"/>
                <w:vertAlign w:val="subscript"/>
                <w:lang w:val="en-US" w:eastAsia="zh-CN"/>
              </w:rPr>
              <w:t>3</w:t>
            </w:r>
            <w:r>
              <w:rPr>
                <w:rFonts w:hint="default" w:ascii="Times New Roman" w:hAnsi="Times New Roman" w:eastAsia="宋体" w:cs="Times New Roman"/>
                <w:color w:val="000000"/>
                <w:sz w:val="24"/>
                <w:szCs w:val="24"/>
                <w:highlight w:val="none"/>
                <w:lang w:val="en-US" w:eastAsia="zh-CN"/>
              </w:rPr>
              <w:t>、臭气浓度执行《山东省医疗机构污染 物排放控制标准》（DB37/596-2020）表 2 污水处理站周边大气污染物最高允许浓度限值要求（H</w:t>
            </w:r>
            <w:r>
              <w:rPr>
                <w:rFonts w:hint="default" w:ascii="Times New Roman" w:hAnsi="Times New Roman" w:eastAsia="宋体" w:cs="Times New Roman"/>
                <w:color w:val="000000"/>
                <w:sz w:val="24"/>
                <w:szCs w:val="24"/>
                <w:highlight w:val="none"/>
                <w:vertAlign w:val="subscript"/>
                <w:lang w:val="en-US" w:eastAsia="zh-CN"/>
              </w:rPr>
              <w:t>2</w:t>
            </w:r>
            <w:r>
              <w:rPr>
                <w:rFonts w:hint="default" w:ascii="Times New Roman" w:hAnsi="Times New Roman" w:eastAsia="宋体" w:cs="Times New Roman"/>
                <w:color w:val="000000"/>
                <w:sz w:val="24"/>
                <w:szCs w:val="24"/>
                <w:highlight w:val="none"/>
                <w:lang w:val="en-US" w:eastAsia="zh-CN"/>
              </w:rPr>
              <w:t>S＜0.02mg/m</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color w:val="000000"/>
                <w:sz w:val="24"/>
                <w:szCs w:val="24"/>
                <w:highlight w:val="none"/>
                <w:lang w:val="en-US" w:eastAsia="zh-CN"/>
              </w:rPr>
              <w:t>、NH</w:t>
            </w:r>
            <w:r>
              <w:rPr>
                <w:rFonts w:hint="default" w:ascii="Times New Roman" w:hAnsi="Times New Roman" w:eastAsia="宋体" w:cs="Times New Roman"/>
                <w:color w:val="000000"/>
                <w:sz w:val="24"/>
                <w:szCs w:val="24"/>
                <w:highlight w:val="none"/>
                <w:vertAlign w:val="subscript"/>
                <w:lang w:val="en-US" w:eastAsia="zh-CN"/>
              </w:rPr>
              <w:t>3</w:t>
            </w:r>
            <w:r>
              <w:rPr>
                <w:rFonts w:hint="default" w:ascii="Times New Roman" w:hAnsi="Times New Roman" w:eastAsia="宋体" w:cs="Times New Roman"/>
                <w:color w:val="000000"/>
                <w:sz w:val="24"/>
                <w:szCs w:val="24"/>
                <w:highlight w:val="none"/>
                <w:lang w:val="en-US" w:eastAsia="zh-CN"/>
              </w:rPr>
              <w:t>＜0.2mg/m</w:t>
            </w:r>
            <w:r>
              <w:rPr>
                <w:rFonts w:hint="eastAsia" w:ascii="Times New Roman" w:hAnsi="Times New Roman" w:eastAsia="宋体" w:cs="Times New Roman"/>
                <w:color w:val="000000"/>
                <w:sz w:val="24"/>
                <w:szCs w:val="24"/>
                <w:highlight w:val="none"/>
                <w:vertAlign w:val="superscript"/>
                <w:lang w:val="en-US" w:eastAsia="zh-CN"/>
              </w:rPr>
              <w:t>3</w:t>
            </w:r>
            <w:r>
              <w:rPr>
                <w:rFonts w:hint="default" w:ascii="Times New Roman" w:hAnsi="Times New Roman" w:eastAsia="宋体" w:cs="Times New Roman"/>
                <w:color w:val="000000"/>
                <w:sz w:val="24"/>
                <w:szCs w:val="24"/>
                <w:highlight w:val="none"/>
                <w:lang w:val="en-US" w:eastAsia="zh-CN"/>
              </w:rPr>
              <w:t>、臭气浓度＜10（无量纲））；</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煎药产生的气味执行《恶臭污染物排放标准》（GB14554-93）表 1 二级新改 扩建厂界标准（臭气浓度：20）。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《山东省医疗机构污染物排放控制标准》（DB37/596-2020）表 1 中二级标准、《污水排入城镇下水道水质标准》（GB/T31962-2015）表1 中 A 等级标准及光大水务（济南）有限公司一厂进水水质要求，排入市政污水管网，进入光大水务（济南）有限公司一厂进行处理。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default" w:ascii="Times New Roman" w:hAnsi="Times New Roman" w:eastAsia="宋体" w:cs="Times New Roman"/>
                <w:color w:val="000000"/>
                <w:sz w:val="24"/>
                <w:szCs w:val="24"/>
                <w:highlight w:val="none"/>
                <w:lang w:val="de-DE" w:eastAsia="zh-CN"/>
              </w:rPr>
            </w:pPr>
            <w:r>
              <w:rPr>
                <w:rFonts w:hint="default" w:ascii="Times New Roman" w:hAnsi="Times New Roman" w:eastAsia="宋体" w:cs="Times New Roman"/>
                <w:color w:val="000000"/>
                <w:sz w:val="24"/>
                <w:szCs w:val="24"/>
                <w:highlight w:val="none"/>
                <w:lang w:val="en-US" w:eastAsia="zh-CN"/>
              </w:rPr>
              <w:t>厂界噪声执行</w:t>
            </w:r>
            <w:r>
              <w:rPr>
                <w:rFonts w:hint="default" w:ascii="Times New Roman" w:hAnsi="Times New Roman" w:eastAsia="宋体" w:cs="Times New Roman"/>
                <w:color w:val="000000"/>
                <w:sz w:val="24"/>
                <w:szCs w:val="24"/>
                <w:highlight w:val="none"/>
                <w:lang w:val="de-DE" w:eastAsia="zh-CN"/>
              </w:rPr>
              <w:t>《工业企业厂界环境噪声排放标准》（GB12348-2008）</w:t>
            </w:r>
            <w:r>
              <w:rPr>
                <w:rFonts w:hint="eastAsia" w:ascii="Times New Roman" w:hAnsi="Times New Roman" w:eastAsia="宋体" w:cs="Times New Roman"/>
                <w:color w:val="000000"/>
                <w:sz w:val="24"/>
                <w:szCs w:val="24"/>
                <w:highlight w:val="none"/>
                <w:lang w:val="en-US" w:eastAsia="zh-CN"/>
              </w:rPr>
              <w:t>1类</w:t>
            </w:r>
            <w:r>
              <w:rPr>
                <w:rFonts w:hint="default" w:ascii="Times New Roman" w:hAnsi="Times New Roman" w:eastAsia="宋体" w:cs="Times New Roman"/>
                <w:color w:val="000000"/>
                <w:sz w:val="24"/>
                <w:szCs w:val="24"/>
                <w:highlight w:val="none"/>
                <w:lang w:val="de-DE" w:eastAsia="zh-CN"/>
              </w:rPr>
              <w:t>功能区标准。</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eastAsia"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000000"/>
                <w:sz w:val="24"/>
                <w:szCs w:val="24"/>
                <w:highlight w:val="none"/>
                <w:lang w:val="en-US" w:eastAsia="zh-CN"/>
              </w:rPr>
              <w:t>敏感点噪声执行《声环境质量标准》（GB 3096-2008）1类</w:t>
            </w:r>
            <w:r>
              <w:rPr>
                <w:rFonts w:hint="default" w:ascii="Times New Roman" w:hAnsi="Times New Roman" w:eastAsia="宋体" w:cs="Times New Roman"/>
                <w:color w:val="000000"/>
                <w:sz w:val="24"/>
                <w:szCs w:val="24"/>
                <w:highlight w:val="none"/>
                <w:lang w:val="de-DE" w:eastAsia="zh-CN"/>
              </w:rPr>
              <w:t>功能区标准。</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4、固废</w:t>
            </w:r>
          </w:p>
          <w:p>
            <w:pPr>
              <w:keepNext w:val="0"/>
              <w:keepLines w:val="0"/>
              <w:pageBreakBefore w:val="0"/>
              <w:widowControl w:val="0"/>
              <w:kinsoku/>
              <w:wordWrap/>
              <w:overflowPunct/>
              <w:topLinePunct w:val="0"/>
              <w:autoSpaceDE/>
              <w:autoSpaceDN/>
              <w:bidi w:val="0"/>
              <w:adjustRightInd/>
              <w:snapToGrid/>
              <w:spacing w:line="360" w:lineRule="auto"/>
              <w:ind w:left="105" w:leftChars="50" w:right="0" w:rightChars="0" w:firstLine="480" w:firstLineChars="200"/>
              <w:jc w:val="both"/>
              <w:textAlignment w:val="auto"/>
              <w:outlineLvl w:val="9"/>
              <w:rPr>
                <w:rFonts w:hint="eastAsia"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危险废物执行《危险废物贮存污染控制标准》（GB18597-2001）及其修改单要求；医疗废物执行《危险废物贮存污染控制标准》（GB18597-2001）及其修改单要求、《山东省医疗机构污染物排放控制标准》（DB37/596-2020）要求。一般固废执行《一般工业固体废物贮存</w:t>
            </w:r>
            <w:r>
              <w:rPr>
                <w:rFonts w:hint="eastAsia" w:ascii="Times New Roman" w:hAnsi="Times New Roman" w:eastAsia="宋体" w:cs="Times New Roman"/>
                <w:color w:val="000000"/>
                <w:sz w:val="24"/>
                <w:szCs w:val="24"/>
                <w:highlight w:val="none"/>
                <w:lang w:val="en-US" w:eastAsia="zh-CN"/>
              </w:rPr>
              <w:t>和填埋</w:t>
            </w:r>
            <w:r>
              <w:rPr>
                <w:rFonts w:hint="default" w:ascii="Times New Roman" w:hAnsi="Times New Roman" w:eastAsia="宋体" w:cs="Times New Roman"/>
                <w:color w:val="000000"/>
                <w:sz w:val="24"/>
                <w:szCs w:val="24"/>
                <w:highlight w:val="none"/>
                <w:lang w:val="en-US" w:eastAsia="zh-CN"/>
              </w:rPr>
              <w:t>污染控制标准》（GB18599-20</w:t>
            </w:r>
            <w:r>
              <w:rPr>
                <w:rFonts w:hint="eastAsia" w:ascii="Times New Roman" w:hAnsi="Times New Roman" w:eastAsia="宋体" w:cs="Times New Roman"/>
                <w:color w:val="000000"/>
                <w:sz w:val="24"/>
                <w:szCs w:val="24"/>
                <w:highlight w:val="none"/>
                <w:lang w:val="en-US" w:eastAsia="zh-CN"/>
              </w:rPr>
              <w:t>20</w:t>
            </w:r>
            <w:r>
              <w:rPr>
                <w:rFonts w:hint="default" w:ascii="Times New Roman" w:hAnsi="Times New Roman" w:eastAsia="宋体" w:cs="Times New Roman"/>
                <w:color w:val="000000"/>
                <w:sz w:val="24"/>
                <w:szCs w:val="24"/>
                <w:highlight w:val="none"/>
                <w:lang w:val="en-US" w:eastAsia="zh-CN"/>
              </w:rPr>
              <w:t>）。</w:t>
            </w:r>
          </w:p>
          <w:p>
            <w:pPr>
              <w:spacing w:line="400" w:lineRule="exact"/>
              <w:ind w:firstLine="480" w:firstLineChars="200"/>
              <w:rPr>
                <w:rFonts w:ascii="Times New Roman" w:hAnsi="Times New Roman" w:cs="Times New Roman"/>
                <w:sz w:val="24"/>
                <w:szCs w:val="24"/>
              </w:rPr>
            </w:pPr>
          </w:p>
        </w:tc>
      </w:tr>
    </w:tbl>
    <w:p>
      <w:pPr>
        <w:pStyle w:val="4"/>
        <w:spacing w:before="0" w:after="0" w:line="360" w:lineRule="auto"/>
        <w:jc w:val="left"/>
        <w:rPr>
          <w:rFonts w:ascii="Times New Roman" w:hAnsi="Times New Roman" w:cs="Times New Roman"/>
          <w:sz w:val="28"/>
          <w:szCs w:val="28"/>
        </w:rPr>
      </w:pPr>
      <w:bookmarkStart w:id="1" w:name="_Toc516087074"/>
      <w:r>
        <w:rPr>
          <w:rFonts w:ascii="Times New Roman" w:hAnsi="Times New Roman" w:cs="Times New Roman"/>
          <w:sz w:val="28"/>
          <w:szCs w:val="28"/>
        </w:rPr>
        <w:t>表二  工程建设内容、原材料消耗及水平衡、工艺流程及产污环节</w:t>
      </w:r>
      <w:bookmarkEnd w:id="1"/>
    </w:p>
    <w:tbl>
      <w:tblPr>
        <w:tblStyle w:val="31"/>
        <w:tblW w:w="5000" w:type="pct"/>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8522"/>
      </w:tblGrid>
      <w:tr>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12206" w:hRule="atLeast"/>
          <w:jc w:val="center"/>
        </w:trPr>
        <w:tc>
          <w:tcPr>
            <w:tcW w:w="5000" w:type="pct"/>
          </w:tcPr>
          <w:p>
            <w:pPr>
              <w:spacing w:line="360" w:lineRule="auto"/>
              <w:jc w:val="left"/>
              <w:rPr>
                <w:rFonts w:ascii="Times New Roman" w:hAnsi="Times New Roman" w:eastAsia="宋体" w:cs="Times New Roman"/>
                <w:b/>
                <w:sz w:val="28"/>
                <w:szCs w:val="28"/>
              </w:rPr>
            </w:pPr>
            <w:r>
              <w:rPr>
                <w:rFonts w:ascii="Times New Roman" w:hAnsi="Times New Roman" w:eastAsia="宋体" w:cs="Times New Roman"/>
                <w:b/>
                <w:sz w:val="28"/>
                <w:szCs w:val="28"/>
              </w:rPr>
              <w:t>工程建设内容：</w:t>
            </w:r>
          </w:p>
          <w:p>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lang w:eastAsia="zh-CN"/>
              </w:rPr>
              <w:t>项目概况</w:t>
            </w:r>
            <w:r>
              <w:rPr>
                <w:rFonts w:ascii="Times New Roman" w:hAnsi="Times New Roman" w:eastAsia="宋体" w:cs="Times New Roman"/>
                <w:b/>
                <w:sz w:val="24"/>
                <w:szCs w:val="24"/>
              </w:rPr>
              <w:t>：</w:t>
            </w:r>
          </w:p>
          <w:p>
            <w:pPr>
              <w:spacing w:line="360" w:lineRule="auto"/>
              <w:ind w:firstLine="480" w:firstLineChars="200"/>
              <w:jc w:val="left"/>
              <w:rPr>
                <w:rFonts w:hint="eastAsia" w:ascii="宋体" w:hAnsi="宋体" w:eastAsia="宋体" w:cs="宋体"/>
                <w:sz w:val="24"/>
                <w:szCs w:val="24"/>
                <w:lang w:val="en-US" w:eastAsia="zh-CN"/>
              </w:rPr>
            </w:pPr>
            <w:r>
              <w:rPr>
                <w:rFonts w:hint="eastAsia" w:ascii="Times New Roman" w:hAnsi="Times New Roman" w:eastAsia="宋体" w:cs="Times New Roman"/>
                <w:color w:val="000000"/>
                <w:sz w:val="24"/>
                <w:szCs w:val="24"/>
                <w:lang w:eastAsia="zh-CN"/>
              </w:rPr>
              <w:t>山东新中鲁中医医院有限公司</w:t>
            </w:r>
            <w:r>
              <w:rPr>
                <w:rFonts w:ascii="宋体" w:hAnsi="宋体" w:eastAsia="宋体" w:cs="宋体"/>
                <w:sz w:val="24"/>
                <w:szCs w:val="24"/>
              </w:rPr>
              <w:t>成立于</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 xml:space="preserve">2019 </w:t>
            </w:r>
            <w:r>
              <w:rPr>
                <w:rFonts w:ascii="宋体" w:hAnsi="宋体" w:eastAsia="宋体" w:cs="宋体"/>
                <w:sz w:val="24"/>
                <w:szCs w:val="24"/>
              </w:rPr>
              <w:t>年</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4</w:t>
            </w:r>
            <w:r>
              <w:rPr>
                <w:rFonts w:ascii="宋体" w:hAnsi="宋体" w:eastAsia="宋体" w:cs="宋体"/>
                <w:spacing w:val="-9"/>
                <w:sz w:val="24"/>
                <w:szCs w:val="24"/>
              </w:rPr>
              <w:t>月，注册地为山东省济南</w:t>
            </w:r>
            <w:r>
              <w:rPr>
                <w:rFonts w:ascii="宋体" w:hAnsi="宋体" w:eastAsia="宋体" w:cs="宋体"/>
                <w:sz w:val="24"/>
                <w:szCs w:val="24"/>
              </w:rPr>
              <w:t>市历下区山师东路</w:t>
            </w:r>
            <w:r>
              <w:rPr>
                <w:rFonts w:ascii="宋体" w:hAnsi="宋体" w:eastAsia="宋体" w:cs="宋体"/>
                <w:spacing w:val="-61"/>
                <w:sz w:val="24"/>
                <w:szCs w:val="24"/>
              </w:rPr>
              <w:t xml:space="preserve"> </w:t>
            </w:r>
            <w:r>
              <w:rPr>
                <w:rFonts w:ascii="Times New Roman" w:hAnsi="Times New Roman" w:eastAsia="Times New Roman" w:cs="Times New Roman"/>
                <w:sz w:val="24"/>
                <w:szCs w:val="24"/>
              </w:rPr>
              <w:t>28-4</w:t>
            </w:r>
            <w:r>
              <w:rPr>
                <w:rFonts w:ascii="Times New Roman" w:hAnsi="Times New Roman" w:eastAsia="Times New Roman" w:cs="Times New Roman"/>
                <w:spacing w:val="-1"/>
                <w:sz w:val="24"/>
                <w:szCs w:val="24"/>
              </w:rPr>
              <w:t xml:space="preserve"> </w:t>
            </w:r>
            <w:r>
              <w:rPr>
                <w:rFonts w:ascii="宋体" w:hAnsi="宋体" w:eastAsia="宋体" w:cs="宋体"/>
                <w:sz w:val="24"/>
                <w:szCs w:val="24"/>
              </w:rPr>
              <w:t>号，主要经营范围为医院诊疗服务；医院管理咨询</w:t>
            </w:r>
            <w:r>
              <w:rPr>
                <w:rFonts w:hint="eastAsia" w:ascii="宋体" w:hAnsi="宋体" w:eastAsia="宋体" w:cs="宋体"/>
                <w:sz w:val="24"/>
                <w:szCs w:val="24"/>
                <w:lang w:eastAsia="zh-CN"/>
              </w:rPr>
              <w:t>等。</w:t>
            </w:r>
            <w:r>
              <w:rPr>
                <w:rFonts w:ascii="宋体" w:hAnsi="宋体" w:eastAsia="宋体" w:cs="宋体"/>
                <w:sz w:val="24"/>
                <w:szCs w:val="24"/>
              </w:rPr>
              <w:t>根据公司发展战略，山东新中鲁中医医院有限公司拟投资</w:t>
            </w:r>
            <w:r>
              <w:rPr>
                <w:rFonts w:ascii="宋体" w:hAnsi="宋体" w:eastAsia="宋体" w:cs="宋体"/>
                <w:spacing w:val="-84"/>
                <w:sz w:val="24"/>
                <w:szCs w:val="24"/>
              </w:rPr>
              <w:t xml:space="preserve"> </w:t>
            </w:r>
            <w:r>
              <w:rPr>
                <w:rFonts w:ascii="Times New Roman" w:hAnsi="Times New Roman" w:eastAsia="Times New Roman" w:cs="Times New Roman"/>
                <w:sz w:val="24"/>
                <w:szCs w:val="24"/>
              </w:rPr>
              <w:t>1000</w:t>
            </w:r>
            <w:r>
              <w:rPr>
                <w:rFonts w:ascii="Times New Roman" w:hAnsi="Times New Roman" w:eastAsia="Times New Roman" w:cs="Times New Roman"/>
                <w:spacing w:val="-24"/>
                <w:sz w:val="24"/>
                <w:szCs w:val="24"/>
              </w:rPr>
              <w:t xml:space="preserve"> </w:t>
            </w:r>
            <w:r>
              <w:rPr>
                <w:rFonts w:ascii="宋体" w:hAnsi="宋体" w:eastAsia="宋体" w:cs="宋体"/>
                <w:spacing w:val="-12"/>
                <w:sz w:val="24"/>
                <w:szCs w:val="24"/>
              </w:rPr>
              <w:t>万元，租</w:t>
            </w:r>
            <w:r>
              <w:rPr>
                <w:rFonts w:ascii="宋体" w:hAnsi="宋体" w:eastAsia="宋体" w:cs="宋体"/>
                <w:sz w:val="24"/>
                <w:szCs w:val="24"/>
              </w:rPr>
              <w:t>赁山东省济南市历下区趵突泉街道趵突泉南路</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6</w:t>
            </w:r>
            <w:r>
              <w:rPr>
                <w:rFonts w:ascii="Times New Roman" w:hAnsi="Times New Roman" w:eastAsia="Times New Roman" w:cs="Times New Roman"/>
                <w:spacing w:val="9"/>
                <w:sz w:val="24"/>
                <w:szCs w:val="24"/>
              </w:rPr>
              <w:t xml:space="preserve"> </w:t>
            </w:r>
            <w:r>
              <w:rPr>
                <w:rFonts w:ascii="宋体" w:hAnsi="宋体" w:eastAsia="宋体" w:cs="宋体"/>
                <w:sz w:val="24"/>
                <w:szCs w:val="24"/>
              </w:rPr>
              <w:t>号现有房屋</w:t>
            </w:r>
            <w:r>
              <w:rPr>
                <w:rFonts w:hint="default" w:ascii="Times New Roman" w:hAnsi="Times New Roman" w:cs="Times New Roman"/>
                <w:bCs/>
                <w:color w:val="000000"/>
                <w:sz w:val="24"/>
                <w:lang w:val="en-US" w:eastAsia="zh-CN"/>
              </w:rPr>
              <w:t>建设</w:t>
            </w:r>
            <w:r>
              <w:rPr>
                <w:rFonts w:hint="eastAsia" w:ascii="Times New Roman" w:hAnsi="Times New Roman" w:eastAsia="宋体" w:cs="Times New Roman"/>
                <w:color w:val="000000"/>
                <w:sz w:val="24"/>
                <w:szCs w:val="24"/>
                <w:highlight w:val="none"/>
                <w:lang w:eastAsia="zh-CN"/>
              </w:rPr>
              <w:t>山东新中鲁中医医院有限公司新建中医医院项目</w:t>
            </w:r>
            <w:r>
              <w:rPr>
                <w:rFonts w:hint="default" w:ascii="Times New Roman" w:hAnsi="Times New Roman" w:cs="Times New Roman"/>
                <w:bCs/>
                <w:color w:val="000000"/>
                <w:sz w:val="24"/>
                <w:lang w:eastAsia="zh-CN"/>
              </w:rPr>
              <w:t>，</w:t>
            </w:r>
            <w:r>
              <w:rPr>
                <w:rFonts w:hint="default" w:ascii="Times New Roman" w:hAnsi="Times New Roman" w:cs="Times New Roman"/>
                <w:bCs/>
                <w:color w:val="0000FF"/>
                <w:sz w:val="24"/>
              </w:rPr>
              <w:t>占地面积1778m</w:t>
            </w:r>
            <w:r>
              <w:rPr>
                <w:rFonts w:hint="default" w:ascii="Times New Roman" w:hAnsi="Times New Roman" w:cs="Times New Roman"/>
                <w:bCs/>
                <w:color w:val="0000FF"/>
                <w:sz w:val="24"/>
                <w:vertAlign w:val="superscript"/>
              </w:rPr>
              <w:t>2</w:t>
            </w:r>
            <w:r>
              <w:rPr>
                <w:rFonts w:hint="default" w:ascii="Times New Roman" w:hAnsi="Times New Roman" w:cs="Times New Roman"/>
                <w:bCs/>
                <w:color w:val="0000FF"/>
                <w:sz w:val="24"/>
              </w:rPr>
              <w:t>，总建筑面积为4133.27</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2</w:t>
            </w:r>
            <w:r>
              <w:rPr>
                <w:rFonts w:hint="default" w:ascii="Times New Roman" w:hAnsi="Times New Roman" w:cs="Times New Roman"/>
                <w:bCs/>
                <w:color w:val="000000"/>
                <w:sz w:val="24"/>
              </w:rPr>
              <w:t>。</w:t>
            </w:r>
            <w:r>
              <w:rPr>
                <w:rFonts w:ascii="宋体" w:hAnsi="宋体" w:eastAsia="宋体" w:cs="宋体"/>
                <w:sz w:val="24"/>
                <w:szCs w:val="24"/>
              </w:rPr>
              <w:t>项目设置</w:t>
            </w:r>
            <w:r>
              <w:rPr>
                <w:rFonts w:ascii="宋体" w:hAnsi="宋体" w:eastAsia="宋体" w:cs="宋体"/>
                <w:spacing w:val="-59"/>
                <w:sz w:val="24"/>
                <w:szCs w:val="24"/>
              </w:rPr>
              <w:t xml:space="preserve"> </w:t>
            </w:r>
            <w:r>
              <w:rPr>
                <w:rFonts w:ascii="Times New Roman" w:hAnsi="Times New Roman" w:eastAsia="Times New Roman" w:cs="Times New Roman"/>
                <w:sz w:val="24"/>
                <w:szCs w:val="24"/>
              </w:rPr>
              <w:t>27</w:t>
            </w:r>
            <w:r>
              <w:rPr>
                <w:rFonts w:ascii="Times New Roman" w:hAnsi="Times New Roman" w:eastAsia="Times New Roman" w:cs="Times New Roman"/>
                <w:spacing w:val="6"/>
                <w:sz w:val="24"/>
                <w:szCs w:val="24"/>
              </w:rPr>
              <w:t xml:space="preserve"> </w:t>
            </w:r>
            <w:r>
              <w:rPr>
                <w:rFonts w:ascii="宋体" w:hAnsi="宋体" w:eastAsia="宋体" w:cs="宋体"/>
                <w:sz w:val="24"/>
                <w:szCs w:val="24"/>
              </w:rPr>
              <w:t>张床位，劳动定员</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45</w:t>
            </w:r>
            <w:r>
              <w:rPr>
                <w:rFonts w:ascii="Times New Roman" w:hAnsi="Times New Roman" w:eastAsia="Times New Roman" w:cs="Times New Roman"/>
                <w:spacing w:val="4"/>
                <w:sz w:val="24"/>
                <w:szCs w:val="24"/>
              </w:rPr>
              <w:t xml:space="preserve"> </w:t>
            </w:r>
            <w:r>
              <w:rPr>
                <w:rFonts w:ascii="宋体" w:hAnsi="宋体" w:eastAsia="宋体" w:cs="宋体"/>
                <w:sz w:val="24"/>
                <w:szCs w:val="24"/>
              </w:rPr>
              <w:t>人，其中医务人员（医生、护士等）</w:t>
            </w:r>
            <w:r>
              <w:rPr>
                <w:rFonts w:hint="eastAsia" w:ascii="宋体" w:hAnsi="宋体" w:eastAsia="宋体" w:cs="宋体"/>
                <w:sz w:val="24"/>
                <w:szCs w:val="24"/>
                <w:lang w:eastAsia="zh-CN"/>
              </w:rPr>
              <w:t>，门诊接诊量</w:t>
            </w:r>
            <w:r>
              <w:rPr>
                <w:rFonts w:hint="eastAsia" w:ascii="宋体" w:hAnsi="宋体" w:eastAsia="宋体" w:cs="宋体"/>
                <w:sz w:val="24"/>
                <w:szCs w:val="24"/>
                <w:lang w:val="en-US" w:eastAsia="zh-CN"/>
              </w:rPr>
              <w:t>100人次/天。</w:t>
            </w:r>
          </w:p>
          <w:p>
            <w:pPr>
              <w:spacing w:line="360" w:lineRule="auto"/>
              <w:jc w:val="left"/>
              <w:rPr>
                <w:rFonts w:ascii="Times New Roman" w:hAnsi="Times New Roman" w:eastAsia="宋体" w:cs="Times New Roman"/>
                <w:b/>
                <w:sz w:val="24"/>
                <w:szCs w:val="24"/>
              </w:rPr>
            </w:pPr>
            <w:r>
              <w:rPr>
                <w:rFonts w:hint="eastAsia" w:ascii="Times New Roman" w:hAnsi="Times New Roman" w:eastAsia="宋体" w:cs="Times New Roman"/>
                <w:b/>
                <w:sz w:val="24"/>
                <w:szCs w:val="24"/>
                <w:lang w:eastAsia="zh-CN"/>
              </w:rPr>
              <w:t>环保手续</w:t>
            </w:r>
            <w:r>
              <w:rPr>
                <w:rFonts w:ascii="Times New Roman" w:hAnsi="Times New Roman" w:eastAsia="宋体" w:cs="Times New Roman"/>
                <w:b/>
                <w:sz w:val="24"/>
                <w:szCs w:val="24"/>
              </w:rPr>
              <w:t>：</w:t>
            </w:r>
          </w:p>
          <w:p>
            <w:pPr>
              <w:spacing w:line="360" w:lineRule="auto"/>
              <w:ind w:firstLine="600" w:firstLineChars="250"/>
              <w:jc w:val="left"/>
              <w:rPr>
                <w:rFonts w:ascii="Times New Roman" w:hAnsi="Times New Roman" w:cs="Times New Roman"/>
                <w:sz w:val="24"/>
                <w:szCs w:val="24"/>
              </w:rPr>
            </w:pPr>
            <w:r>
              <w:rPr>
                <w:rFonts w:hint="default" w:ascii="Times New Roman" w:hAnsi="Times New Roman" w:cs="Times New Roman"/>
                <w:sz w:val="24"/>
                <w:szCs w:val="24"/>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7月</w:t>
            </w:r>
            <w:r>
              <w:rPr>
                <w:rFonts w:hint="eastAsia" w:ascii="Times New Roman" w:hAnsi="Times New Roman" w:cs="Times New Roman"/>
                <w:sz w:val="24"/>
                <w:szCs w:val="24"/>
                <w:lang w:eastAsia="zh-CN"/>
              </w:rPr>
              <w:t>建设单位将</w:t>
            </w:r>
            <w:r>
              <w:rPr>
                <w:rFonts w:hint="default" w:ascii="Times New Roman" w:hAnsi="Times New Roman" w:cs="Times New Roman"/>
                <w:sz w:val="24"/>
                <w:szCs w:val="24"/>
                <w:lang w:eastAsia="zh-CN"/>
              </w:rPr>
              <w:t>《</w:t>
            </w:r>
            <w:r>
              <w:rPr>
                <w:rFonts w:hint="eastAsia" w:ascii="Times New Roman" w:hAnsi="Times New Roman" w:eastAsia="宋体" w:cs="Times New Roman"/>
                <w:color w:val="000000"/>
                <w:sz w:val="24"/>
                <w:szCs w:val="24"/>
                <w:lang w:eastAsia="zh-CN"/>
              </w:rPr>
              <w:t>山东新中鲁中医医院有限公司</w:t>
            </w:r>
            <w:r>
              <w:rPr>
                <w:rFonts w:hint="eastAsia" w:ascii="Times New Roman" w:hAnsi="Times New Roman" w:eastAsia="宋体" w:cs="Times New Roman"/>
                <w:bCs/>
                <w:color w:val="000000"/>
                <w:sz w:val="24"/>
                <w:lang w:eastAsia="zh-CN"/>
              </w:rPr>
              <w:t>新建中医医院项目</w:t>
            </w:r>
            <w:r>
              <w:rPr>
                <w:rFonts w:hint="default" w:ascii="Times New Roman" w:hAnsi="Times New Roman" w:cs="Times New Roman"/>
                <w:sz w:val="24"/>
              </w:rPr>
              <w:t>环境影响报告表</w:t>
            </w:r>
            <w:r>
              <w:rPr>
                <w:rFonts w:hint="default" w:ascii="Times New Roman" w:hAnsi="Times New Roman" w:cs="Times New Roman"/>
                <w:sz w:val="24"/>
                <w:szCs w:val="24"/>
                <w:lang w:eastAsia="zh-CN"/>
              </w:rPr>
              <w:t>》报送至</w:t>
            </w:r>
            <w:r>
              <w:rPr>
                <w:rFonts w:hint="default" w:ascii="Times New Roman" w:hAnsi="Times New Roman" w:cs="Times New Roman"/>
                <w:sz w:val="24"/>
                <w:lang w:eastAsia="zh-CN"/>
              </w:rPr>
              <w:t>济南市</w:t>
            </w:r>
            <w:r>
              <w:rPr>
                <w:rFonts w:hint="default" w:ascii="Times New Roman" w:hAnsi="Times New Roman" w:cs="Times New Roman"/>
                <w:sz w:val="24"/>
                <w:lang w:val="en-US" w:eastAsia="zh-CN"/>
              </w:rPr>
              <w:t>生态环境局</w:t>
            </w:r>
            <w:r>
              <w:rPr>
                <w:rFonts w:hint="eastAsia" w:ascii="Times New Roman" w:hAnsi="Times New Roman" w:cs="Times New Roman"/>
                <w:sz w:val="24"/>
                <w:lang w:eastAsia="zh-CN"/>
              </w:rPr>
              <w:t>历下分局</w:t>
            </w:r>
            <w:r>
              <w:rPr>
                <w:rFonts w:hint="default" w:ascii="Times New Roman" w:hAnsi="Times New Roman" w:cs="Times New Roman"/>
                <w:sz w:val="24"/>
                <w:szCs w:val="24"/>
                <w:lang w:eastAsia="zh-CN"/>
              </w:rPr>
              <w:t>。</w:t>
            </w:r>
            <w:r>
              <w:rPr>
                <w:rFonts w:hint="default" w:ascii="Times New Roman" w:hAnsi="Times New Roman" w:cs="Times New Roman"/>
                <w:sz w:val="24"/>
                <w:szCs w:val="24"/>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年</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月</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日</w:t>
            </w:r>
            <w:r>
              <w:rPr>
                <w:rFonts w:hint="default" w:ascii="Times New Roman" w:hAnsi="Times New Roman" w:cs="Times New Roman"/>
                <w:sz w:val="24"/>
                <w:lang w:eastAsia="zh-CN"/>
              </w:rPr>
              <w:t>济南市</w:t>
            </w:r>
            <w:r>
              <w:rPr>
                <w:rFonts w:hint="default" w:ascii="Times New Roman" w:hAnsi="Times New Roman" w:cs="Times New Roman"/>
                <w:sz w:val="24"/>
                <w:lang w:val="en-US" w:eastAsia="zh-CN"/>
              </w:rPr>
              <w:t>生态环境局</w:t>
            </w:r>
            <w:r>
              <w:rPr>
                <w:rFonts w:hint="eastAsia" w:ascii="Times New Roman" w:hAnsi="Times New Roman" w:cs="Times New Roman"/>
                <w:sz w:val="24"/>
                <w:lang w:eastAsia="zh-CN"/>
              </w:rPr>
              <w:t>历下分局</w:t>
            </w:r>
            <w:r>
              <w:rPr>
                <w:rFonts w:hint="default" w:ascii="Times New Roman" w:hAnsi="Times New Roman" w:cs="Times New Roman"/>
                <w:sz w:val="24"/>
                <w:szCs w:val="24"/>
                <w:lang w:eastAsia="zh-CN"/>
              </w:rPr>
              <w:t>对本项目出具审批意见</w:t>
            </w:r>
            <w:r>
              <w:rPr>
                <w:rFonts w:hint="default" w:ascii="Times New Roman" w:hAnsi="Times New Roman" w:cs="Times New Roman"/>
                <w:sz w:val="24"/>
                <w:szCs w:val="24"/>
              </w:rPr>
              <w:t>（</w:t>
            </w:r>
            <w:r>
              <w:rPr>
                <w:rFonts w:hint="eastAsia" w:ascii="Times New Roman" w:hAnsi="Times New Roman" w:cs="Times New Roman"/>
                <w:sz w:val="24"/>
                <w:lang w:eastAsia="zh-CN"/>
              </w:rPr>
              <w:t>历下环建审（报告表）</w:t>
            </w:r>
            <w:r>
              <w:rPr>
                <w:rFonts w:hint="default" w:ascii="Times New Roman" w:hAnsi="Times New Roman" w:cs="Times New Roman"/>
                <w:sz w:val="24"/>
              </w:rPr>
              <w:t>[20</w:t>
            </w:r>
            <w:r>
              <w:rPr>
                <w:rFonts w:hint="default" w:ascii="Times New Roman" w:hAnsi="Times New Roman" w:cs="Times New Roman"/>
                <w:sz w:val="24"/>
                <w:lang w:val="en-US" w:eastAsia="zh-CN"/>
              </w:rPr>
              <w:t>2</w:t>
            </w:r>
            <w:r>
              <w:rPr>
                <w:rFonts w:hint="eastAsia" w:ascii="Times New Roman" w:hAnsi="Times New Roman" w:cs="Times New Roman"/>
                <w:sz w:val="24"/>
                <w:lang w:val="en-US" w:eastAsia="zh-CN"/>
              </w:rPr>
              <w:t>2</w:t>
            </w:r>
            <w:r>
              <w:rPr>
                <w:rFonts w:hint="default" w:ascii="Times New Roman" w:hAnsi="Times New Roman" w:cs="Times New Roman"/>
                <w:sz w:val="24"/>
              </w:rPr>
              <w:t>]</w:t>
            </w:r>
            <w:r>
              <w:rPr>
                <w:rFonts w:hint="default" w:ascii="Times New Roman" w:hAnsi="Times New Roman" w:cs="Times New Roman"/>
                <w:sz w:val="24"/>
                <w:lang w:eastAsia="zh-CN"/>
              </w:rPr>
              <w:t>第（</w:t>
            </w:r>
            <w:r>
              <w:rPr>
                <w:rFonts w:hint="eastAsia" w:ascii="Times New Roman" w:hAnsi="Times New Roman" w:cs="Times New Roman"/>
                <w:sz w:val="24"/>
                <w:lang w:val="en-US" w:eastAsia="zh-CN"/>
              </w:rPr>
              <w:t>1</w:t>
            </w:r>
            <w:r>
              <w:rPr>
                <w:rFonts w:hint="default" w:ascii="Times New Roman" w:hAnsi="Times New Roman" w:cs="Times New Roman"/>
                <w:sz w:val="24"/>
                <w:lang w:eastAsia="zh-CN"/>
              </w:rPr>
              <w:t>）</w:t>
            </w:r>
            <w:r>
              <w:rPr>
                <w:rFonts w:hint="default" w:ascii="Times New Roman" w:hAnsi="Times New Roman" w:cs="Times New Roman"/>
                <w:sz w:val="24"/>
              </w:rPr>
              <w:t>号</w:t>
            </w:r>
            <w:r>
              <w:rPr>
                <w:rFonts w:hint="default" w:ascii="Times New Roman" w:hAnsi="Times New Roman" w:cs="Times New Roman"/>
                <w:sz w:val="24"/>
                <w:szCs w:val="24"/>
                <w:highlight w:val="none"/>
                <w:lang w:eastAsia="zh-CN"/>
              </w:rPr>
              <w:t>，详见附件</w:t>
            </w:r>
            <w:r>
              <w:rPr>
                <w:rFonts w:hint="default" w:ascii="Times New Roman" w:hAnsi="Times New Roman" w:cs="Times New Roman"/>
                <w:sz w:val="24"/>
                <w:szCs w:val="24"/>
                <w:highlight w:val="none"/>
                <w:lang w:val="en-US" w:eastAsia="zh-CN"/>
              </w:rPr>
              <w:t>二</w:t>
            </w:r>
            <w:r>
              <w:rPr>
                <w:rFonts w:hint="default" w:ascii="Times New Roman" w:hAnsi="Times New Roman" w:cs="Times New Roman"/>
                <w:sz w:val="24"/>
                <w:szCs w:val="24"/>
                <w:highlight w:val="none"/>
              </w:rPr>
              <w:t>）。</w:t>
            </w:r>
            <w:r>
              <w:rPr>
                <w:rFonts w:hint="default" w:ascii="Times New Roman" w:hAnsi="Times New Roman" w:cs="Times New Roman"/>
                <w:color w:val="000000"/>
                <w:sz w:val="24"/>
                <w:highlight w:val="none"/>
                <w:lang w:eastAsia="zh-CN"/>
              </w:rPr>
              <w:t>本</w:t>
            </w:r>
            <w:r>
              <w:rPr>
                <w:rFonts w:hint="default" w:ascii="Times New Roman" w:hAnsi="Times New Roman" w:cs="Times New Roman"/>
                <w:color w:val="000000"/>
                <w:sz w:val="24"/>
                <w:highlight w:val="none"/>
              </w:rPr>
              <w:t>项目于</w:t>
            </w:r>
            <w:r>
              <w:rPr>
                <w:rFonts w:hint="default" w:ascii="Times New Roman" w:hAnsi="Times New Roman" w:cs="Times New Roman"/>
                <w:color w:val="000000"/>
                <w:sz w:val="24"/>
                <w:highlight w:val="none"/>
                <w:lang w:val="en-US" w:eastAsia="zh-CN"/>
              </w:rPr>
              <w:t>202</w:t>
            </w:r>
            <w:r>
              <w:rPr>
                <w:rFonts w:hint="eastAsia"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年</w:t>
            </w:r>
            <w:r>
              <w:rPr>
                <w:rFonts w:hint="eastAsia" w:ascii="Times New Roman" w:hAnsi="Times New Roman" w:cs="Times New Roman"/>
                <w:color w:val="000000"/>
                <w:sz w:val="24"/>
                <w:highlight w:val="none"/>
                <w:lang w:val="en-US" w:eastAsia="zh-CN"/>
              </w:rPr>
              <w:t>7</w:t>
            </w:r>
            <w:r>
              <w:rPr>
                <w:rFonts w:hint="default" w:ascii="Times New Roman" w:hAnsi="Times New Roman" w:cs="Times New Roman"/>
                <w:color w:val="000000"/>
                <w:sz w:val="24"/>
                <w:highlight w:val="none"/>
              </w:rPr>
              <w:t>月开工，并于</w:t>
            </w:r>
            <w:r>
              <w:rPr>
                <w:rFonts w:hint="default" w:ascii="Times New Roman" w:hAnsi="Times New Roman" w:cs="Times New Roman"/>
                <w:color w:val="000000"/>
                <w:sz w:val="24"/>
                <w:highlight w:val="none"/>
                <w:lang w:val="en-US" w:eastAsia="zh-CN"/>
              </w:rPr>
              <w:t>202</w:t>
            </w:r>
            <w:r>
              <w:rPr>
                <w:rFonts w:hint="eastAsia" w:ascii="Times New Roman" w:hAnsi="Times New Roman" w:cs="Times New Roman"/>
                <w:color w:val="000000"/>
                <w:sz w:val="24"/>
                <w:highlight w:val="none"/>
                <w:lang w:val="en-US" w:eastAsia="zh-CN"/>
              </w:rPr>
              <w:t>2</w:t>
            </w:r>
            <w:r>
              <w:rPr>
                <w:rFonts w:hint="default" w:ascii="Times New Roman" w:hAnsi="Times New Roman" w:cs="Times New Roman"/>
                <w:color w:val="000000"/>
                <w:sz w:val="24"/>
                <w:highlight w:val="none"/>
              </w:rPr>
              <w:t>年</w:t>
            </w:r>
            <w:r>
              <w:rPr>
                <w:rFonts w:hint="eastAsia" w:ascii="Times New Roman" w:hAnsi="Times New Roman" w:cs="Times New Roman"/>
                <w:color w:val="000000"/>
                <w:sz w:val="24"/>
                <w:highlight w:val="none"/>
                <w:lang w:val="en-US" w:eastAsia="zh-CN"/>
              </w:rPr>
              <w:t>12</w:t>
            </w:r>
            <w:r>
              <w:rPr>
                <w:rFonts w:hint="default" w:ascii="Times New Roman" w:hAnsi="Times New Roman" w:cs="Times New Roman"/>
                <w:color w:val="000000"/>
                <w:sz w:val="24"/>
                <w:highlight w:val="none"/>
              </w:rPr>
              <w:t>月</w:t>
            </w:r>
            <w:r>
              <w:rPr>
                <w:rFonts w:hint="default" w:ascii="Times New Roman" w:hAnsi="Times New Roman" w:cs="Times New Roman"/>
                <w:color w:val="000000"/>
                <w:sz w:val="24"/>
                <w:highlight w:val="none"/>
                <w:lang w:val="en-US" w:eastAsia="zh-CN"/>
              </w:rPr>
              <w:t>投入</w:t>
            </w:r>
            <w:r>
              <w:rPr>
                <w:rFonts w:hint="eastAsia" w:ascii="Times New Roman" w:hAnsi="Times New Roman" w:cs="Times New Roman"/>
                <w:color w:val="000000"/>
                <w:sz w:val="24"/>
                <w:highlight w:val="none"/>
                <w:lang w:val="en-US" w:eastAsia="zh-CN"/>
              </w:rPr>
              <w:t>试</w:t>
            </w:r>
            <w:r>
              <w:rPr>
                <w:rFonts w:hint="default" w:ascii="Times New Roman" w:hAnsi="Times New Roman" w:cs="Times New Roman"/>
                <w:color w:val="000000"/>
                <w:sz w:val="24"/>
                <w:highlight w:val="none"/>
                <w:lang w:val="en-US" w:eastAsia="zh-CN"/>
              </w:rPr>
              <w:t>运营</w:t>
            </w:r>
            <w:r>
              <w:rPr>
                <w:rFonts w:hint="default" w:ascii="Times New Roman" w:hAnsi="Times New Roman" w:cs="Times New Roman"/>
                <w:color w:val="000000"/>
                <w:sz w:val="24"/>
                <w:lang w:eastAsia="zh-CN"/>
              </w:rPr>
              <w:t>。</w:t>
            </w:r>
            <w:r>
              <w:rPr>
                <w:rFonts w:hint="eastAsia" w:ascii="Times New Roman" w:hAnsi="Times New Roman" w:cs="Times New Roman"/>
                <w:color w:val="000000" w:themeColor="text1"/>
                <w:sz w:val="24"/>
                <w:szCs w:val="24"/>
                <w14:textFill>
                  <w14:solidFill>
                    <w14:schemeClr w14:val="tx1"/>
                  </w14:solidFill>
                </w14:textFill>
              </w:rPr>
              <w:t>202</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2</w:t>
            </w:r>
            <w:r>
              <w:rPr>
                <w:rFonts w:hint="eastAsia" w:ascii="Times New Roman" w:hAnsi="Times New Roman" w:cs="Times New Roman"/>
                <w:color w:val="000000" w:themeColor="text1"/>
                <w:sz w:val="24"/>
                <w:szCs w:val="24"/>
                <w14:textFill>
                  <w14:solidFill>
                    <w14:schemeClr w14:val="tx1"/>
                  </w14:solidFill>
                </w14:textFill>
              </w:rPr>
              <w:t>月企业对本项目进行了排污许可证登记，并取得了登记回执。</w:t>
            </w:r>
            <w:r>
              <w:rPr>
                <w:rFonts w:hint="eastAsia" w:ascii="Times New Roman" w:hAnsi="Times New Roman" w:cs="Times New Roman"/>
                <w:sz w:val="24"/>
                <w:szCs w:val="24"/>
              </w:rPr>
              <w:t>现项目设备已上齐，环保设施完成“三同时”建设要求，基本达到环保验收要求。</w:t>
            </w:r>
          </w:p>
          <w:p>
            <w:pPr>
              <w:spacing w:line="360" w:lineRule="auto"/>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验收范围：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本次对“</w:t>
            </w:r>
            <w:r>
              <w:rPr>
                <w:rFonts w:hint="eastAsia" w:ascii="Times New Roman" w:hAnsi="Times New Roman" w:eastAsia="宋体" w:cs="Times New Roman"/>
                <w:color w:val="000000"/>
                <w:sz w:val="24"/>
                <w:szCs w:val="24"/>
                <w:lang w:eastAsia="zh-CN"/>
              </w:rPr>
              <w:t>山东新中鲁中医医院有限公司</w:t>
            </w:r>
            <w:r>
              <w:rPr>
                <w:rFonts w:hint="eastAsia" w:ascii="Times New Roman" w:hAnsi="Times New Roman" w:eastAsia="宋体" w:cs="Times New Roman"/>
                <w:bCs/>
                <w:color w:val="000000"/>
                <w:sz w:val="24"/>
                <w:lang w:eastAsia="zh-CN"/>
              </w:rPr>
              <w:t>新建中医医院项目</w:t>
            </w:r>
            <w:r>
              <w:rPr>
                <w:rFonts w:hint="eastAsia" w:ascii="Times New Roman" w:hAnsi="Times New Roman" w:cs="Times New Roman"/>
                <w:sz w:val="24"/>
                <w:szCs w:val="24"/>
                <w:lang w:val="en-US" w:eastAsia="zh-CN"/>
              </w:rPr>
              <w:t>运行情况进行验收，包括项目主体工程、配套的环保设施，不包含放射性和辐射性医疗设备。</w:t>
            </w:r>
          </w:p>
          <w:p>
            <w:pPr>
              <w:spacing w:line="360" w:lineRule="auto"/>
              <w:jc w:val="left"/>
              <w:rPr>
                <w:rFonts w:hint="eastAsia" w:ascii="Times New Roman" w:hAnsi="Times New Roman" w:eastAsia="宋体" w:cs="Times New Roman"/>
                <w:b/>
                <w:sz w:val="24"/>
                <w:szCs w:val="24"/>
                <w:lang w:eastAsia="zh-CN"/>
              </w:rPr>
            </w:pPr>
            <w:r>
              <w:rPr>
                <w:rFonts w:hint="eastAsia" w:ascii="Times New Roman" w:hAnsi="Times New Roman" w:eastAsia="宋体" w:cs="Times New Roman"/>
                <w:b/>
                <w:sz w:val="24"/>
                <w:szCs w:val="24"/>
                <w:lang w:eastAsia="zh-CN"/>
              </w:rPr>
              <w:t>验收内容：</w:t>
            </w:r>
          </w:p>
          <w:p>
            <w:pPr>
              <w:spacing w:line="360" w:lineRule="auto"/>
              <w:ind w:firstLine="600" w:firstLineChars="250"/>
              <w:jc w:val="left"/>
              <w:rPr>
                <w:rFonts w:hint="eastAsia" w:ascii="宋体" w:hAnsi="宋体" w:eastAsia="宋体" w:cs="宋体"/>
                <w:color w:val="000000"/>
                <w:kern w:val="0"/>
                <w:sz w:val="24"/>
                <w:szCs w:val="24"/>
                <w:lang w:val="en-US" w:eastAsia="zh-CN" w:bidi="ar"/>
              </w:rPr>
            </w:pPr>
            <w:r>
              <w:rPr>
                <w:rFonts w:hint="eastAsia" w:ascii="Times New Roman" w:hAnsi="Times New Roman" w:cs="Times New Roman"/>
                <w:sz w:val="24"/>
                <w:lang w:val="en-US" w:eastAsia="zh-CN"/>
              </w:rPr>
              <w:t>对照该项目环境影响报告表以及济南市生态环境保护局历下分局的审批意见，核查项目的建设内容、建设规模以及各项环保治理设施建设完成情况。对环境影响报告以及环保行政主管部门的批复中提及的有关废水、废气、噪声和固体废物的产生、排放情况进行监测、统计</w:t>
            </w:r>
            <w:r>
              <w:rPr>
                <w:rFonts w:hint="eastAsia" w:ascii="宋体" w:hAnsi="宋体" w:eastAsia="宋体" w:cs="宋体"/>
                <w:color w:val="000000"/>
                <w:kern w:val="0"/>
                <w:sz w:val="24"/>
                <w:szCs w:val="24"/>
                <w:lang w:val="en-US" w:eastAsia="zh-CN" w:bidi="ar"/>
              </w:rPr>
              <w:t>。按照“三同时”要求，调查各项环保设施是否安装到位，调查各个生产工段的污染物的实际产生情况以及相应的环保设施是否建设到位和实际运行情况。</w:t>
            </w:r>
          </w:p>
          <w:p>
            <w:pPr>
              <w:spacing w:line="360" w:lineRule="auto"/>
              <w:ind w:firstLine="600" w:firstLineChars="25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调查环评批复的落实情况、污染物排放总量的落实情况等。核查周围敏感保护目标分布及受影响情况。</w:t>
            </w:r>
          </w:p>
          <w:p>
            <w:pPr>
              <w:pStyle w:val="37"/>
              <w:ind w:left="0" w:leftChars="0" w:firstLine="0" w:firstLineChars="0"/>
              <w:rPr>
                <w:rFonts w:hint="eastAsia"/>
                <w:b/>
                <w:bCs/>
                <w:lang w:val="en-US" w:eastAsia="zh-CN"/>
              </w:rPr>
            </w:pPr>
            <w:r>
              <w:rPr>
                <w:rFonts w:hint="eastAsia"/>
                <w:b/>
                <w:bCs/>
                <w:lang w:val="en-US" w:eastAsia="zh-CN"/>
              </w:rPr>
              <w:t>监测任务：</w:t>
            </w:r>
          </w:p>
          <w:p>
            <w:pPr>
              <w:spacing w:line="360" w:lineRule="auto"/>
              <w:ind w:firstLine="600" w:firstLineChars="250"/>
              <w:jc w:val="left"/>
              <w:rPr>
                <w:rFonts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lang w:val="en-US" w:eastAsia="zh-CN" w:bidi="ar"/>
              </w:rPr>
              <w:t>受</w:t>
            </w:r>
            <w:r>
              <w:rPr>
                <w:rFonts w:hint="eastAsia" w:ascii="Times New Roman" w:hAnsi="Times New Roman" w:eastAsia="宋体" w:cs="Times New Roman"/>
                <w:color w:val="000000"/>
                <w:kern w:val="0"/>
                <w:sz w:val="24"/>
                <w:szCs w:val="24"/>
                <w:lang w:val="en-US" w:eastAsia="zh-CN" w:bidi="ar"/>
              </w:rPr>
              <w:t>建设单位</w:t>
            </w:r>
            <w:r>
              <w:rPr>
                <w:rFonts w:hint="default" w:ascii="Times New Roman" w:hAnsi="Times New Roman" w:eastAsia="宋体" w:cs="Times New Roman"/>
                <w:color w:val="000000"/>
                <w:kern w:val="0"/>
                <w:sz w:val="24"/>
                <w:szCs w:val="24"/>
                <w:lang w:val="en-US" w:eastAsia="zh-CN" w:bidi="ar"/>
              </w:rPr>
              <w:t>委托，</w:t>
            </w:r>
            <w:r>
              <w:rPr>
                <w:rFonts w:hint="eastAsia" w:ascii="Times New Roman" w:hAnsi="Times New Roman" w:cs="Times New Roman"/>
                <w:sz w:val="24"/>
                <w:szCs w:val="24"/>
              </w:rPr>
              <w:t>山东中环检验检测有限公司</w:t>
            </w:r>
            <w:r>
              <w:rPr>
                <w:rFonts w:hint="default" w:ascii="Times New Roman" w:hAnsi="Times New Roman" w:eastAsia="宋体" w:cs="Times New Roman"/>
                <w:color w:val="000000"/>
                <w:kern w:val="0"/>
                <w:sz w:val="24"/>
                <w:szCs w:val="24"/>
                <w:lang w:val="en-US" w:eastAsia="zh-CN" w:bidi="ar"/>
              </w:rPr>
              <w:t>承担本项目竣工环境保护验收监测工作。根据《建设项目竣工环境保护验收暂行办法》（环规环评函[2017]4号）、《关于发布&lt;建设项目竣工环境保护验收技术指南 污染影响类&gt;的公告》（生态环境部公告 2018 年第9号文，2018.5）及《建设项目竣工环境保护验收技术规范医疗机构》（HJ794-2016）的规定和要求</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cs="Times New Roman"/>
                <w:sz w:val="24"/>
                <w:szCs w:val="24"/>
              </w:rPr>
              <w:t>山东中环检验检测有限公司于202</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1</w:t>
            </w: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3</w:t>
            </w: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4</w:t>
            </w:r>
            <w:r>
              <w:rPr>
                <w:rFonts w:hint="eastAsia" w:ascii="Times New Roman" w:hAnsi="Times New Roman" w:cs="Times New Roman"/>
                <w:sz w:val="24"/>
                <w:szCs w:val="24"/>
              </w:rPr>
              <w:t>对</w:t>
            </w:r>
            <w:r>
              <w:rPr>
                <w:rFonts w:hint="eastAsia" w:ascii="Times New Roman" w:hAnsi="Times New Roman" w:cs="Times New Roman"/>
                <w:sz w:val="24"/>
                <w:szCs w:val="24"/>
                <w:lang w:eastAsia="zh-CN"/>
              </w:rPr>
              <w:t>山东新中鲁中医医院有限公司新建中医医院项目</w:t>
            </w:r>
            <w:r>
              <w:rPr>
                <w:rFonts w:hint="eastAsia" w:ascii="Times New Roman" w:hAnsi="Times New Roman" w:cs="Times New Roman"/>
                <w:sz w:val="24"/>
                <w:szCs w:val="24"/>
              </w:rPr>
              <w:t>外排污染物进行了检测</w:t>
            </w:r>
            <w:r>
              <w:rPr>
                <w:rFonts w:hint="eastAsia" w:ascii="Times New Roman" w:hAnsi="Times New Roman" w:cs="Times New Roman"/>
                <w:sz w:val="24"/>
                <w:szCs w:val="24"/>
                <w:highlight w:val="none"/>
              </w:rPr>
              <w:t>（检测报告见附件）。</w:t>
            </w:r>
          </w:p>
          <w:p>
            <w:pPr>
              <w:spacing w:line="360" w:lineRule="auto"/>
              <w:ind w:firstLine="600" w:firstLineChars="250"/>
              <w:jc w:val="left"/>
              <w:rPr>
                <w:rFonts w:ascii="Times New Roman" w:hAnsi="Times New Roman" w:cs="Times New Roman"/>
                <w:sz w:val="24"/>
                <w:szCs w:val="24"/>
              </w:rPr>
            </w:pPr>
            <w:r>
              <w:rPr>
                <w:rFonts w:hint="eastAsia" w:ascii="Times New Roman" w:hAnsi="Times New Roman" w:cs="Times New Roman"/>
                <w:sz w:val="24"/>
                <w:szCs w:val="24"/>
              </w:rPr>
              <w:t>根据实地调查和监测的结果，</w:t>
            </w:r>
            <w:r>
              <w:rPr>
                <w:rFonts w:hint="eastAsia" w:ascii="Times New Roman" w:hAnsi="Times New Roman" w:cs="Times New Roman"/>
                <w:sz w:val="24"/>
                <w:szCs w:val="24"/>
                <w:lang w:eastAsia="zh-CN"/>
              </w:rPr>
              <w:t>建设单位</w:t>
            </w:r>
            <w:r>
              <w:rPr>
                <w:rFonts w:hint="eastAsia" w:ascii="Times New Roman" w:hAnsi="Times New Roman" w:cs="Times New Roman"/>
                <w:sz w:val="24"/>
                <w:szCs w:val="24"/>
              </w:rPr>
              <w:t>编制了《</w:t>
            </w:r>
            <w:r>
              <w:rPr>
                <w:rFonts w:hint="eastAsia" w:ascii="Times New Roman" w:hAnsi="Times New Roman" w:cs="Times New Roman"/>
                <w:sz w:val="24"/>
                <w:szCs w:val="24"/>
                <w:lang w:eastAsia="zh-CN"/>
              </w:rPr>
              <w:t>山东新中鲁中医医院有限公司新建中医医院项目</w:t>
            </w:r>
            <w:r>
              <w:rPr>
                <w:rFonts w:hint="eastAsia" w:ascii="Times New Roman" w:hAnsi="Times New Roman" w:cs="Times New Roman"/>
                <w:sz w:val="24"/>
                <w:szCs w:val="24"/>
              </w:rPr>
              <w:t>竣工环境保护验收监测报告表》。</w:t>
            </w:r>
          </w:p>
          <w:p>
            <w:pPr>
              <w:spacing w:line="360" w:lineRule="auto"/>
              <w:rPr>
                <w:rFonts w:ascii="Times New Roman" w:hAnsi="Times New Roman" w:cs="Times New Roman"/>
                <w:b/>
                <w:sz w:val="24"/>
                <w:szCs w:val="24"/>
              </w:rPr>
            </w:pPr>
            <w:r>
              <w:rPr>
                <w:rFonts w:hint="eastAsia" w:ascii="Times New Roman" w:hAnsi="Times New Roman" w:cs="Times New Roman"/>
                <w:b/>
                <w:sz w:val="24"/>
                <w:szCs w:val="24"/>
                <w:lang w:eastAsia="zh-CN"/>
              </w:rPr>
              <w:t>项目组成</w:t>
            </w:r>
            <w:r>
              <w:rPr>
                <w:rFonts w:ascii="Times New Roman" w:hAnsi="Times New Roman" w:cs="Times New Roman"/>
                <w:b/>
                <w:sz w:val="24"/>
                <w:szCs w:val="24"/>
              </w:rPr>
              <w:t>:</w:t>
            </w:r>
          </w:p>
          <w:p>
            <w:pPr>
              <w:widowControl/>
              <w:spacing w:line="360" w:lineRule="auto"/>
              <w:ind w:firstLine="482"/>
              <w:rPr>
                <w:rFonts w:ascii="Times New Roman" w:hAnsi="Times New Roman" w:cs="Times New Roman"/>
                <w:sz w:val="24"/>
                <w:szCs w:val="24"/>
              </w:rPr>
            </w:pPr>
            <w:r>
              <w:rPr>
                <w:rFonts w:hint="eastAsia" w:ascii="Times New Roman" w:hAnsi="Times New Roman" w:cs="Times New Roman"/>
                <w:sz w:val="24"/>
                <w:szCs w:val="24"/>
                <w:lang w:eastAsia="zh-CN"/>
              </w:rPr>
              <w:t>山东新中鲁中医医院有限公司</w:t>
            </w:r>
            <w:r>
              <w:rPr>
                <w:rFonts w:hint="eastAsia" w:ascii="Times New Roman" w:hAnsi="Times New Roman" w:cs="Times New Roman"/>
                <w:sz w:val="24"/>
                <w:szCs w:val="24"/>
              </w:rPr>
              <w:t>位于山东省济南市</w:t>
            </w:r>
            <w:r>
              <w:rPr>
                <w:rFonts w:hint="eastAsia" w:ascii="Times New Roman" w:hAnsi="Times New Roman" w:cs="Times New Roman"/>
                <w:sz w:val="24"/>
                <w:szCs w:val="24"/>
                <w:lang w:eastAsia="zh-CN"/>
              </w:rPr>
              <w:t>山东省济南市历下区趵突泉街道趵突泉南路6号</w:t>
            </w:r>
            <w:r>
              <w:rPr>
                <w:rFonts w:hint="eastAsia" w:ascii="Times New Roman" w:hAnsi="Times New Roman" w:cs="Times New Roman"/>
                <w:sz w:val="24"/>
                <w:szCs w:val="24"/>
              </w:rPr>
              <w:t>，</w:t>
            </w:r>
            <w:r>
              <w:rPr>
                <w:rFonts w:hint="eastAsia" w:ascii="Times New Roman" w:hAnsi="Times New Roman" w:cs="Times New Roman"/>
                <w:sz w:val="24"/>
                <w:szCs w:val="24"/>
                <w:highlight w:val="none"/>
              </w:rPr>
              <w:t>总投资</w:t>
            </w:r>
            <w:r>
              <w:rPr>
                <w:rFonts w:hint="eastAsia" w:ascii="Times New Roman" w:hAnsi="Times New Roman" w:cs="Times New Roman"/>
                <w:sz w:val="24"/>
                <w:szCs w:val="24"/>
                <w:highlight w:val="none"/>
                <w:lang w:val="en-US" w:eastAsia="zh-CN"/>
              </w:rPr>
              <w:t>1000</w:t>
            </w:r>
            <w:r>
              <w:rPr>
                <w:rFonts w:hint="eastAsia" w:ascii="Times New Roman" w:hAnsi="Times New Roman" w:cs="Times New Roman"/>
                <w:sz w:val="24"/>
                <w:szCs w:val="24"/>
                <w:highlight w:val="none"/>
              </w:rPr>
              <w:t>万元，</w:t>
            </w:r>
            <w:r>
              <w:rPr>
                <w:rFonts w:hint="eastAsia" w:ascii="Times New Roman" w:hAnsi="Times New Roman" w:cs="Times New Roman"/>
                <w:sz w:val="24"/>
                <w:szCs w:val="24"/>
              </w:rPr>
              <w:t>占地面积</w:t>
            </w:r>
            <w:r>
              <w:rPr>
                <w:rFonts w:hint="eastAsia" w:ascii="Times New Roman" w:hAnsi="Times New Roman" w:cs="Times New Roman"/>
                <w:sz w:val="24"/>
                <w:szCs w:val="24"/>
                <w:lang w:val="en-US" w:eastAsia="zh-CN"/>
              </w:rPr>
              <w:t>1778</w:t>
            </w:r>
            <w:r>
              <w:rPr>
                <w:rFonts w:hint="eastAsia" w:ascii="Times New Roman" w:hAnsi="Times New Roman" w:cs="Times New Roman"/>
                <w:sz w:val="24"/>
                <w:szCs w:val="24"/>
              </w:rPr>
              <w:t>平方米。</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项目主要组成内容见表2-1，主要生产设备见表2-2，环保投资情况见表2-</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w:t>
            </w:r>
          </w:p>
          <w:p>
            <w:pPr>
              <w:spacing w:line="360" w:lineRule="auto"/>
              <w:jc w:val="center"/>
              <w:rPr>
                <w:rFonts w:ascii="Times New Roman" w:hAnsi="Times New Roman" w:cs="Times New Roman"/>
                <w:b/>
                <w:sz w:val="24"/>
              </w:rPr>
            </w:pPr>
            <w:r>
              <w:rPr>
                <w:rFonts w:ascii="Times New Roman" w:hAnsi="Times New Roman" w:cs="Times New Roman"/>
                <w:b/>
                <w:sz w:val="24"/>
              </w:rPr>
              <w:t>表2-1 项目组成内容一览表</w:t>
            </w:r>
          </w:p>
          <w:tbl>
            <w:tblPr>
              <w:tblStyle w:val="30"/>
              <w:tblW w:w="8098" w:type="dxa"/>
              <w:tblInd w:w="0" w:type="dxa"/>
              <w:tblLayout w:type="fixed"/>
              <w:tblCellMar>
                <w:top w:w="0" w:type="dxa"/>
                <w:left w:w="0" w:type="dxa"/>
                <w:bottom w:w="0" w:type="dxa"/>
                <w:right w:w="0" w:type="dxa"/>
              </w:tblCellMar>
            </w:tblPr>
            <w:tblGrid>
              <w:gridCol w:w="353"/>
              <w:gridCol w:w="647"/>
              <w:gridCol w:w="2891"/>
              <w:gridCol w:w="2343"/>
              <w:gridCol w:w="1864"/>
            </w:tblGrid>
            <w:tr>
              <w:tblPrEx>
                <w:tblCellMar>
                  <w:top w:w="0" w:type="dxa"/>
                  <w:left w:w="0" w:type="dxa"/>
                  <w:bottom w:w="0" w:type="dxa"/>
                  <w:right w:w="0" w:type="dxa"/>
                </w:tblCellMar>
              </w:tblPrEx>
              <w:trPr>
                <w:trHeight w:val="0" w:hRule="atLeast"/>
              </w:trPr>
              <w:tc>
                <w:tcPr>
                  <w:tcW w:w="353" w:type="dxa"/>
                  <w:tcBorders>
                    <w:top w:val="single" w:color="000000" w:sz="12" w:space="0"/>
                    <w:left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spacing w:val="0"/>
                      <w:w w:val="100"/>
                      <w:position w:val="0"/>
                      <w:sz w:val="21"/>
                      <w:szCs w:val="21"/>
                      <w:lang w:eastAsia="zh-CN"/>
                    </w:rPr>
                  </w:pPr>
                  <w:r>
                    <w:rPr>
                      <w:rFonts w:hint="default" w:ascii="Times New Roman" w:hAnsi="Times New Roman" w:eastAsia="宋体" w:cs="Times New Roman"/>
                      <w:b/>
                      <w:bCs/>
                      <w:spacing w:val="0"/>
                      <w:w w:val="100"/>
                      <w:position w:val="0"/>
                      <w:sz w:val="21"/>
                      <w:szCs w:val="21"/>
                      <w:lang w:eastAsia="zh-CN"/>
                    </w:rPr>
                    <w:t>工程</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spacing w:val="0"/>
                      <w:w w:val="100"/>
                      <w:position w:val="0"/>
                      <w:sz w:val="21"/>
                      <w:szCs w:val="21"/>
                      <w:lang w:eastAsia="zh-CN"/>
                    </w:rPr>
                  </w:pPr>
                  <w:r>
                    <w:rPr>
                      <w:rFonts w:hint="default" w:ascii="Times New Roman" w:hAnsi="Times New Roman" w:eastAsia="宋体" w:cs="Times New Roman"/>
                      <w:b/>
                      <w:bCs/>
                      <w:spacing w:val="0"/>
                      <w:w w:val="100"/>
                      <w:position w:val="0"/>
                      <w:sz w:val="21"/>
                      <w:szCs w:val="21"/>
                      <w:lang w:eastAsia="zh-CN"/>
                    </w:rPr>
                    <w:t>类别</w:t>
                  </w:r>
                </w:p>
              </w:tc>
              <w:tc>
                <w:tcPr>
                  <w:tcW w:w="647"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spacing w:val="0"/>
                      <w:w w:val="100"/>
                      <w:position w:val="0"/>
                      <w:sz w:val="21"/>
                      <w:szCs w:val="21"/>
                      <w:lang w:eastAsia="zh-CN"/>
                    </w:rPr>
                  </w:pPr>
                  <w:r>
                    <w:rPr>
                      <w:rFonts w:hint="default" w:ascii="Times New Roman" w:hAnsi="Times New Roman" w:eastAsia="宋体" w:cs="Times New Roman"/>
                      <w:b/>
                      <w:bCs/>
                      <w:spacing w:val="0"/>
                      <w:w w:val="100"/>
                      <w:position w:val="0"/>
                      <w:sz w:val="21"/>
                      <w:szCs w:val="21"/>
                      <w:lang w:eastAsia="zh-CN"/>
                    </w:rPr>
                    <w:t>主要内容</w:t>
                  </w:r>
                </w:p>
              </w:tc>
              <w:tc>
                <w:tcPr>
                  <w:tcW w:w="2891"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spacing w:val="0"/>
                      <w:w w:val="100"/>
                      <w:position w:val="0"/>
                      <w:sz w:val="21"/>
                      <w:szCs w:val="21"/>
                      <w:lang w:eastAsia="zh-CN"/>
                    </w:rPr>
                  </w:pPr>
                  <w:r>
                    <w:rPr>
                      <w:rFonts w:hint="default" w:ascii="Times New Roman" w:hAnsi="Times New Roman" w:eastAsia="宋体" w:cs="Times New Roman"/>
                      <w:b/>
                      <w:bCs/>
                      <w:spacing w:val="0"/>
                      <w:w w:val="100"/>
                      <w:position w:val="0"/>
                      <w:sz w:val="21"/>
                      <w:szCs w:val="21"/>
                      <w:lang w:eastAsia="zh-CN"/>
                    </w:rPr>
                    <w:t>环评工程内容</w:t>
                  </w:r>
                </w:p>
              </w:tc>
              <w:tc>
                <w:tcPr>
                  <w:tcW w:w="2343"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spacing w:val="0"/>
                      <w:w w:val="100"/>
                      <w:position w:val="0"/>
                      <w:sz w:val="21"/>
                      <w:szCs w:val="21"/>
                      <w:lang w:eastAsia="zh-CN"/>
                    </w:rPr>
                  </w:pPr>
                  <w:r>
                    <w:rPr>
                      <w:rFonts w:hint="default" w:ascii="Times New Roman" w:hAnsi="Times New Roman" w:eastAsia="宋体" w:cs="Times New Roman"/>
                      <w:b/>
                      <w:bCs/>
                      <w:spacing w:val="0"/>
                      <w:w w:val="100"/>
                      <w:position w:val="0"/>
                      <w:sz w:val="21"/>
                      <w:szCs w:val="21"/>
                      <w:lang w:eastAsia="zh-CN"/>
                    </w:rPr>
                    <w:t>实际建设内容</w:t>
                  </w:r>
                </w:p>
              </w:tc>
              <w:tc>
                <w:tcPr>
                  <w:tcW w:w="1864"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default" w:ascii="Times New Roman" w:hAnsi="Times New Roman" w:eastAsia="宋体" w:cs="Times New Roman"/>
                      <w:b/>
                      <w:bCs/>
                      <w:spacing w:val="0"/>
                      <w:w w:val="100"/>
                      <w:position w:val="0"/>
                      <w:sz w:val="21"/>
                      <w:szCs w:val="21"/>
                      <w:lang w:eastAsia="zh-CN"/>
                    </w:rPr>
                  </w:pPr>
                  <w:r>
                    <w:rPr>
                      <w:rFonts w:hint="eastAsia" w:ascii="Times New Roman" w:hAnsi="Times New Roman" w:cs="Times New Roman"/>
                      <w:b/>
                      <w:bCs/>
                      <w:spacing w:val="0"/>
                      <w:w w:val="100"/>
                      <w:position w:val="0"/>
                      <w:sz w:val="21"/>
                      <w:szCs w:val="21"/>
                      <w:lang w:eastAsia="zh-CN"/>
                    </w:rPr>
                    <w:t>变化情况</w:t>
                  </w:r>
                </w:p>
              </w:tc>
            </w:tr>
            <w:tr>
              <w:tblPrEx>
                <w:tblCellMar>
                  <w:top w:w="0" w:type="dxa"/>
                  <w:left w:w="0" w:type="dxa"/>
                  <w:bottom w:w="0" w:type="dxa"/>
                  <w:right w:w="0" w:type="dxa"/>
                </w:tblCellMar>
              </w:tblPrEx>
              <w:trPr>
                <w:trHeight w:val="0" w:hRule="atLeast"/>
              </w:trPr>
              <w:tc>
                <w:tcPr>
                  <w:tcW w:w="353" w:type="dxa"/>
                  <w:vMerge w:val="restart"/>
                  <w:tcBorders>
                    <w:top w:val="single" w:color="000000" w:sz="12" w:space="0"/>
                    <w:left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主体 工程</w:t>
                  </w:r>
                </w:p>
              </w:tc>
              <w:tc>
                <w:tcPr>
                  <w:tcW w:w="647"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地下一层</w:t>
                  </w:r>
                </w:p>
              </w:tc>
              <w:tc>
                <w:tcPr>
                  <w:tcW w:w="2891"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建筑面积580.85m</w:t>
                  </w:r>
                  <w:r>
                    <w:rPr>
                      <w:rFonts w:hint="default" w:ascii="Times New Roman" w:hAnsi="Times New Roman" w:eastAsia="宋体" w:cs="Times New Roman"/>
                      <w:spacing w:val="0"/>
                      <w:w w:val="100"/>
                      <w:position w:val="0"/>
                      <w:sz w:val="21"/>
                      <w:szCs w:val="21"/>
                      <w:vertAlign w:val="superscript"/>
                      <w:lang w:val="en-US" w:eastAsia="zh-CN"/>
                    </w:rPr>
                    <w:t>2</w:t>
                  </w:r>
                  <w:r>
                    <w:rPr>
                      <w:rFonts w:hint="default" w:ascii="Times New Roman" w:hAnsi="Times New Roman" w:eastAsia="宋体" w:cs="Times New Roman"/>
                      <w:spacing w:val="0"/>
                      <w:w w:val="100"/>
                      <w:position w:val="0"/>
                      <w:sz w:val="21"/>
                      <w:szCs w:val="21"/>
                    </w:rPr>
                    <w:t>，主要设置放射科、危废间</w:t>
                  </w:r>
                </w:p>
              </w:tc>
              <w:tc>
                <w:tcPr>
                  <w:tcW w:w="2343"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tabs>
                      <w:tab w:val="left" w:pos="1148"/>
                    </w:tabs>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建筑面积580.85m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w:t>
                  </w:r>
                  <w:r>
                    <w:rPr>
                      <w:rFonts w:hint="default" w:ascii="Times New Roman" w:hAnsi="Times New Roman" w:eastAsia="宋体" w:cs="Times New Roman"/>
                      <w:spacing w:val="0"/>
                      <w:w w:val="100"/>
                      <w:position w:val="0"/>
                      <w:sz w:val="21"/>
                      <w:szCs w:val="21"/>
                      <w:lang w:eastAsia="zh-CN"/>
                    </w:rPr>
                    <w:t>储存间、中心药库、煎药室、放射科；</w:t>
                  </w:r>
                </w:p>
              </w:tc>
              <w:tc>
                <w:tcPr>
                  <w:tcW w:w="1864" w:type="dxa"/>
                  <w:tcBorders>
                    <w:top w:val="single" w:color="000000" w:sz="12"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tabs>
                      <w:tab w:val="left" w:pos="1148"/>
                    </w:tabs>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lang w:eastAsia="zh-CN"/>
                    </w:rPr>
                    <w:t>新增</w:t>
                  </w:r>
                  <w:r>
                    <w:rPr>
                      <w:rFonts w:hint="eastAsia" w:ascii="Times New Roman" w:hAnsi="Times New Roman" w:cs="Times New Roman"/>
                      <w:spacing w:val="0"/>
                      <w:w w:val="100"/>
                      <w:position w:val="0"/>
                      <w:sz w:val="21"/>
                      <w:szCs w:val="21"/>
                      <w:lang w:eastAsia="zh-CN"/>
                    </w:rPr>
                    <w:t>储存间、</w:t>
                  </w:r>
                  <w:r>
                    <w:rPr>
                      <w:rFonts w:hint="default" w:ascii="Times New Roman" w:hAnsi="Times New Roman" w:eastAsia="宋体" w:cs="Times New Roman"/>
                      <w:spacing w:val="0"/>
                      <w:w w:val="100"/>
                      <w:position w:val="0"/>
                      <w:sz w:val="21"/>
                      <w:szCs w:val="21"/>
                      <w:lang w:eastAsia="zh-CN"/>
                    </w:rPr>
                    <w:t>中心药库</w:t>
                  </w:r>
                  <w:r>
                    <w:rPr>
                      <w:rFonts w:hint="eastAsia" w:ascii="Times New Roman" w:hAnsi="Times New Roman" w:cs="Times New Roman"/>
                      <w:spacing w:val="0"/>
                      <w:w w:val="100"/>
                      <w:position w:val="0"/>
                      <w:sz w:val="21"/>
                      <w:szCs w:val="21"/>
                      <w:lang w:eastAsia="zh-CN"/>
                    </w:rPr>
                    <w:t>、煎药室</w:t>
                  </w:r>
                  <w:r>
                    <w:rPr>
                      <w:rFonts w:hint="default" w:ascii="Times New Roman" w:hAnsi="Times New Roman" w:eastAsia="宋体" w:cs="Times New Roman"/>
                      <w:spacing w:val="0"/>
                      <w:w w:val="100"/>
                      <w:position w:val="0"/>
                      <w:sz w:val="21"/>
                      <w:szCs w:val="21"/>
                      <w:lang w:eastAsia="zh-CN"/>
                    </w:rPr>
                    <w:t>，无危废间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一层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建筑面积537.37m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，主要设置导医台、收费室、门诊办、中药房、西药房、大药房、储存间</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tabs>
                      <w:tab w:val="left" w:pos="1367"/>
                    </w:tabs>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lang w:val="en-US" w:eastAsia="zh-CN"/>
                    </w:rPr>
                  </w:pPr>
                  <w:r>
                    <w:rPr>
                      <w:rFonts w:hint="default" w:ascii="Times New Roman" w:hAnsi="Times New Roman" w:eastAsia="宋体" w:cs="Times New Roman"/>
                      <w:spacing w:val="0"/>
                      <w:w w:val="100"/>
                      <w:position w:val="0"/>
                      <w:sz w:val="21"/>
                      <w:szCs w:val="21"/>
                    </w:rPr>
                    <w:t>建筑面积537.37m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w:t>
                  </w:r>
                  <w:r>
                    <w:rPr>
                      <w:rFonts w:hint="default" w:ascii="Times New Roman" w:hAnsi="Times New Roman" w:eastAsia="宋体" w:cs="Times New Roman"/>
                      <w:spacing w:val="0"/>
                      <w:w w:val="100"/>
                      <w:position w:val="0"/>
                      <w:sz w:val="21"/>
                      <w:szCs w:val="21"/>
                      <w:lang w:eastAsia="zh-CN"/>
                    </w:rPr>
                    <w:t>导医台、收费室、中药房、大药房</w:t>
                  </w:r>
                  <w:r>
                    <w:rPr>
                      <w:rFonts w:hint="eastAsia" w:ascii="Times New Roman" w:hAnsi="Times New Roman" w:cs="Times New Roman"/>
                      <w:spacing w:val="0"/>
                      <w:w w:val="100"/>
                      <w:position w:val="0"/>
                      <w:sz w:val="21"/>
                      <w:szCs w:val="21"/>
                      <w:lang w:eastAsia="zh-CN"/>
                    </w:rPr>
                    <w:t>、西药房、门诊办</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tabs>
                      <w:tab w:val="left" w:pos="1367"/>
                    </w:tabs>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eastAsia" w:ascii="Times New Roman" w:hAnsi="Times New Roman" w:cs="Times New Roman"/>
                      <w:spacing w:val="0"/>
                      <w:w w:val="100"/>
                      <w:position w:val="0"/>
                      <w:sz w:val="21"/>
                      <w:szCs w:val="21"/>
                      <w:lang w:eastAsia="zh-CN"/>
                    </w:rPr>
                    <w:t>无</w:t>
                  </w:r>
                  <w:r>
                    <w:rPr>
                      <w:rFonts w:hint="default" w:ascii="Times New Roman" w:hAnsi="Times New Roman" w:eastAsia="宋体" w:cs="Times New Roman"/>
                      <w:spacing w:val="0"/>
                      <w:w w:val="100"/>
                      <w:position w:val="0"/>
                      <w:sz w:val="21"/>
                      <w:szCs w:val="21"/>
                      <w:lang w:eastAsia="zh-CN"/>
                    </w:rPr>
                    <w:t>储存间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二层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建筑面积451.57m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，主要设置心电图室、彩超室、诊室</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tabs>
                      <w:tab w:val="left" w:pos="1468"/>
                    </w:tabs>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建筑面积451.57m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w:t>
                  </w:r>
                  <w:r>
                    <w:rPr>
                      <w:rFonts w:hint="default" w:ascii="Times New Roman" w:hAnsi="Times New Roman" w:eastAsia="宋体" w:cs="Times New Roman"/>
                      <w:spacing w:val="0"/>
                      <w:w w:val="100"/>
                      <w:position w:val="0"/>
                      <w:sz w:val="21"/>
                      <w:szCs w:val="21"/>
                      <w:lang w:eastAsia="zh-CN"/>
                    </w:rPr>
                    <w:t>西药房、诊室</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tabs>
                      <w:tab w:val="left" w:pos="1468"/>
                    </w:tabs>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lang w:eastAsia="zh-CN"/>
                    </w:rPr>
                    <w:t>不设置</w:t>
                  </w:r>
                  <w:r>
                    <w:rPr>
                      <w:rFonts w:hint="default" w:ascii="Times New Roman" w:hAnsi="Times New Roman" w:eastAsia="宋体" w:cs="Times New Roman"/>
                      <w:spacing w:val="0"/>
                      <w:w w:val="100"/>
                      <w:position w:val="0"/>
                      <w:sz w:val="21"/>
                      <w:szCs w:val="21"/>
                    </w:rPr>
                    <w:t>心电图室、彩超室</w:t>
                  </w:r>
                  <w:r>
                    <w:rPr>
                      <w:rFonts w:hint="eastAsia" w:ascii="Times New Roman" w:hAnsi="Times New Roman" w:cs="Times New Roman"/>
                      <w:spacing w:val="0"/>
                      <w:w w:val="100"/>
                      <w:position w:val="0"/>
                      <w:sz w:val="21"/>
                      <w:szCs w:val="21"/>
                      <w:lang w:eastAsia="zh-CN"/>
                    </w:rPr>
                    <w:t>，改为</w:t>
                  </w:r>
                  <w:r>
                    <w:rPr>
                      <w:rFonts w:hint="default" w:ascii="Times New Roman" w:hAnsi="Times New Roman" w:eastAsia="宋体" w:cs="Times New Roman"/>
                      <w:spacing w:val="0"/>
                      <w:w w:val="100"/>
                      <w:position w:val="0"/>
                      <w:sz w:val="21"/>
                      <w:szCs w:val="21"/>
                      <w:lang w:eastAsia="zh-CN"/>
                    </w:rPr>
                    <w:t>西药房、诊室</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三层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建筑面积570.37m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，主要设置中医诊室</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建筑面积570.37m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，主要设置中医诊室</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四层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建筑面积570.37m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，主要设置针推治疗室</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建筑面积570.37m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，主要设置针推治疗室</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五层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建筑面积570.37m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，主要设置手术室、诊室</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eastAsia"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rPr>
                    <w:t>建筑面积570.37m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，主要设置手术室、诊室</w:t>
                  </w:r>
                  <w:r>
                    <w:rPr>
                      <w:rFonts w:hint="eastAsia" w:ascii="Times New Roman" w:hAnsi="Times New Roman" w:cs="Times New Roman"/>
                      <w:spacing w:val="0"/>
                      <w:w w:val="100"/>
                      <w:position w:val="0"/>
                      <w:sz w:val="21"/>
                      <w:szCs w:val="21"/>
                      <w:lang w:eastAsia="zh-CN"/>
                    </w:rPr>
                    <w:t>、</w:t>
                  </w:r>
                  <w:r>
                    <w:rPr>
                      <w:rFonts w:hint="default" w:ascii="Times New Roman" w:hAnsi="Times New Roman" w:eastAsia="宋体" w:cs="Times New Roman"/>
                      <w:spacing w:val="0"/>
                      <w:w w:val="100"/>
                      <w:position w:val="0"/>
                      <w:sz w:val="21"/>
                      <w:szCs w:val="21"/>
                      <w:lang w:eastAsia="zh-CN"/>
                    </w:rPr>
                    <w:t>化验室、心电图室、彩超室</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lang w:eastAsia="zh-CN"/>
                    </w:rPr>
                    <w:t>增设化验室、心电图室、彩超室</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六层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建筑面积409.56m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，主要设置病房</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rPr>
                    <w:t>建筑面积409.56m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，主要设置病房</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七层</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建筑面积442.81m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，主要设置会议室、院办、综合办、财务室、凭证室等办公室</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rPr>
                    <w:t>建筑面积442.81m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，主要设置会议室、院办、综合办、财务室、凭证室等办公室</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储运</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工程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危废间</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位于地下一层西南侧，建筑面积</w:t>
                  </w:r>
                  <w:r>
                    <w:rPr>
                      <w:rFonts w:hint="eastAsia" w:ascii="Times New Roman" w:hAnsi="Times New Roman" w:cs="Times New Roman"/>
                      <w:spacing w:val="0"/>
                      <w:w w:val="100"/>
                      <w:position w:val="0"/>
                      <w:sz w:val="21"/>
                      <w:szCs w:val="21"/>
                      <w:lang w:eastAsia="zh-CN"/>
                    </w:rPr>
                    <w:t>11m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，用于暂存危险废物</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lang w:eastAsia="zh-CN"/>
                    </w:rPr>
                    <w:t>位于医院门诊楼东侧</w:t>
                  </w:r>
                  <w:r>
                    <w:rPr>
                      <w:rFonts w:hint="default" w:ascii="Times New Roman" w:hAnsi="Times New Roman" w:eastAsia="宋体" w:cs="Times New Roman"/>
                      <w:spacing w:val="0"/>
                      <w:w w:val="100"/>
                      <w:position w:val="0"/>
                      <w:sz w:val="21"/>
                      <w:szCs w:val="21"/>
                    </w:rPr>
                    <w:t>，建筑面积</w:t>
                  </w:r>
                  <w:r>
                    <w:rPr>
                      <w:rFonts w:hint="eastAsia" w:ascii="Times New Roman" w:hAnsi="Times New Roman" w:cs="Times New Roman"/>
                      <w:spacing w:val="0"/>
                      <w:w w:val="100"/>
                      <w:position w:val="0"/>
                      <w:sz w:val="21"/>
                      <w:szCs w:val="21"/>
                      <w:lang w:val="en-US" w:eastAsia="zh-CN"/>
                    </w:rPr>
                    <w:t>11</w:t>
                  </w:r>
                  <w:r>
                    <w:rPr>
                      <w:rFonts w:hint="default" w:ascii="Times New Roman" w:hAnsi="Times New Roman" w:eastAsia="宋体" w:cs="Times New Roman"/>
                      <w:spacing w:val="0"/>
                      <w:w w:val="100"/>
                      <w:position w:val="0"/>
                      <w:sz w:val="21"/>
                      <w:szCs w:val="21"/>
                    </w:rPr>
                    <w:t>m</w:t>
                  </w:r>
                  <w:r>
                    <w:rPr>
                      <w:rFonts w:hint="default" w:ascii="Times New Roman" w:hAnsi="Times New Roman" w:eastAsia="宋体" w:cs="Times New Roman"/>
                      <w:spacing w:val="0"/>
                      <w:w w:val="100"/>
                      <w:position w:val="0"/>
                      <w:sz w:val="21"/>
                      <w:szCs w:val="21"/>
                      <w:vertAlign w:val="superscript"/>
                    </w:rPr>
                    <w:t>2</w:t>
                  </w:r>
                  <w:r>
                    <w:rPr>
                      <w:rFonts w:hint="default" w:ascii="Times New Roman" w:hAnsi="Times New Roman" w:eastAsia="宋体" w:cs="Times New Roman"/>
                      <w:spacing w:val="0"/>
                      <w:w w:val="100"/>
                      <w:position w:val="0"/>
                      <w:sz w:val="21"/>
                      <w:szCs w:val="21"/>
                    </w:rPr>
                    <w:t>，用于暂存危险废物</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eastAsia" w:ascii="Times New Roman" w:hAnsi="Times New Roman" w:cs="Times New Roman"/>
                      <w:spacing w:val="0"/>
                      <w:w w:val="100"/>
                      <w:position w:val="0"/>
                      <w:sz w:val="21"/>
                      <w:szCs w:val="21"/>
                      <w:lang w:eastAsia="zh-CN"/>
                    </w:rPr>
                    <w:t>危废位置和建筑面积变更</w:t>
                  </w:r>
                </w:p>
              </w:tc>
            </w:tr>
            <w:tr>
              <w:tblPrEx>
                <w:tblCellMar>
                  <w:top w:w="0" w:type="dxa"/>
                  <w:left w:w="0" w:type="dxa"/>
                  <w:bottom w:w="0" w:type="dxa"/>
                  <w:right w:w="0" w:type="dxa"/>
                </w:tblCellMar>
              </w:tblPrEx>
              <w:trPr>
                <w:trHeight w:val="0" w:hRule="atLeast"/>
              </w:trPr>
              <w:tc>
                <w:tcPr>
                  <w:tcW w:w="353" w:type="dxa"/>
                  <w:vMerge w:val="restart"/>
                  <w:tcBorders>
                    <w:top w:val="single" w:color="000000" w:sz="4" w:space="0"/>
                    <w:left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公用工程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供水</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由市政供水管网集中供水</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lang w:eastAsia="zh-CN"/>
                    </w:rPr>
                    <w:t>与环评一致</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供电</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由市政供电电网接入</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lang w:eastAsia="zh-CN"/>
                    </w:rPr>
                    <w:t>与环评一致</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供热</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冬季取暖为市政供热</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lang w:eastAsia="zh-CN"/>
                    </w:rPr>
                    <w:t>中央空调</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eastAsia" w:ascii="Times New Roman" w:hAnsi="Times New Roman" w:cs="Times New Roman"/>
                      <w:spacing w:val="0"/>
                      <w:w w:val="100"/>
                      <w:position w:val="0"/>
                      <w:sz w:val="21"/>
                      <w:szCs w:val="21"/>
                      <w:lang w:eastAsia="zh-CN"/>
                    </w:rPr>
                    <w:t>改为中央空调</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制冷</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采取分体式空调制冷</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lang w:eastAsia="zh-CN"/>
                    </w:rPr>
                    <w:t>中央空调</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eastAsia" w:ascii="Times New Roman" w:hAnsi="Times New Roman" w:cs="Times New Roman"/>
                      <w:spacing w:val="0"/>
                      <w:w w:val="100"/>
                      <w:position w:val="0"/>
                      <w:sz w:val="21"/>
                      <w:szCs w:val="21"/>
                      <w:lang w:eastAsia="zh-CN"/>
                    </w:rPr>
                    <w:t>改为中央空调</w:t>
                  </w:r>
                </w:p>
              </w:tc>
            </w:tr>
            <w:tr>
              <w:tblPrEx>
                <w:tblCellMar>
                  <w:top w:w="0" w:type="dxa"/>
                  <w:left w:w="0" w:type="dxa"/>
                  <w:bottom w:w="0" w:type="dxa"/>
                  <w:right w:w="0" w:type="dxa"/>
                </w:tblCellMar>
              </w:tblPrEx>
              <w:trPr>
                <w:trHeight w:val="0" w:hRule="atLeast"/>
              </w:trPr>
              <w:tc>
                <w:tcPr>
                  <w:tcW w:w="353" w:type="dxa"/>
                  <w:vMerge w:val="restart"/>
                  <w:tcBorders>
                    <w:top w:val="single" w:color="000000" w:sz="4" w:space="0"/>
                    <w:left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环保 工程</w:t>
                  </w: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废气</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本项目设置一体化污水处理设施，污水处理设施采用采用一体化密封型处理设备，产生恶臭区域均加盖，并定期投加除臭剂 等措施后，废气无组织排放。</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rPr>
                    <w:t>本项目设置一体化污水处理设施，污水处理设施采用采用一体化密封型处理设备，产生恶臭区域均加盖，并定期投加除臭剂 等措施后，废气无组织排放。</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废水</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本项目生活污水、医疗废水等经“化粪池+一体化污水处理设施”处理后通过市政污水管网排入光大水务（济南）有限公司一厂进一步处理。</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rPr>
                    <w:t>本项目生活污水、医疗废水等经“化粪池+一体化污水处理设施”处理后通过市政污水管网排入光大水务（济南）有限公司一厂进一步处理。</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固废</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项目产生的固体废物包括一般固体废物、危险废物及生活垃圾。</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一般固体废物包括未被污染的包装材料、塑料（玻璃）输液瓶</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（袋）、药渣等，未被污染的包装材料、塑料（玻璃）输液瓶</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（袋）收集后回收利用，药渣由环卫部门定期清运；危险废物 主要包括主要包括医疗废物、废紫外灯管、化粪池污泥、污水 处理栅渣及污泥，委托资质单位处理处置；生活垃圾由环卫部 门定期清运。</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项目产生的固体废物包括一般固体废物、危险废物及生活垃圾。</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一般固体废物包括未被污染的包装材料、塑料（玻璃）输液瓶</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（袋）、药渣等，未被污染的包装材料、塑料（玻璃）输液瓶</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rPr>
                    <w:t>（袋）收集后回收利用，药渣由环卫部门定期清运；危险废物主要包括主要包括医疗废物、废紫外灯管、化粪池污泥、污水处理栅渣及污泥，委托资质单位处理处置；生活垃圾由环卫部门定期清运。</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both"/>
                    <w:textAlignment w:val="auto"/>
                    <w:rPr>
                      <w:rFonts w:hint="default" w:ascii="Times New Roman" w:hAnsi="Times New Roman" w:eastAsia="宋体" w:cs="Times New Roman"/>
                      <w:spacing w:val="0"/>
                      <w:w w:val="100"/>
                      <w:kern w:val="0"/>
                      <w:position w:val="0"/>
                      <w:sz w:val="21"/>
                      <w:szCs w:val="21"/>
                      <w:lang w:val="en-US" w:eastAsia="zh-CN" w:bidi="ar-SA"/>
                    </w:rPr>
                  </w:pPr>
                  <w:r>
                    <w:rPr>
                      <w:rFonts w:hint="default" w:ascii="Times New Roman" w:hAnsi="Times New Roman" w:eastAsia="宋体" w:cs="Times New Roman"/>
                      <w:spacing w:val="0"/>
                      <w:w w:val="100"/>
                      <w:position w:val="0"/>
                      <w:sz w:val="21"/>
                      <w:szCs w:val="21"/>
                      <w:lang w:eastAsia="zh-CN"/>
                    </w:rPr>
                    <w:t>与环评一致</w:t>
                  </w:r>
                </w:p>
              </w:tc>
            </w:tr>
            <w:tr>
              <w:tblPrEx>
                <w:tblCellMar>
                  <w:top w:w="0" w:type="dxa"/>
                  <w:left w:w="0" w:type="dxa"/>
                  <w:bottom w:w="0" w:type="dxa"/>
                  <w:right w:w="0" w:type="dxa"/>
                </w:tblCellMar>
              </w:tblPrEx>
              <w:trPr>
                <w:trHeight w:val="0" w:hRule="atLeast"/>
              </w:trPr>
              <w:tc>
                <w:tcPr>
                  <w:tcW w:w="353" w:type="dxa"/>
                  <w:vMerge w:val="continue"/>
                  <w:tcBorders>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p>
              </w:tc>
              <w:tc>
                <w:tcPr>
                  <w:tcW w:w="64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噪声</w:t>
                  </w:r>
                </w:p>
              </w:tc>
              <w:tc>
                <w:tcPr>
                  <w:tcW w:w="28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本项目选用符合国家标准的设备，采取基础减震、建筑隔声、</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距离衰减等措施。</w:t>
                  </w:r>
                </w:p>
              </w:tc>
              <w:tc>
                <w:tcPr>
                  <w:tcW w:w="234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rPr>
                  </w:pPr>
                  <w:r>
                    <w:rPr>
                      <w:rFonts w:hint="default" w:ascii="Times New Roman" w:hAnsi="Times New Roman" w:eastAsia="宋体" w:cs="Times New Roman"/>
                      <w:spacing w:val="0"/>
                      <w:w w:val="100"/>
                      <w:position w:val="0"/>
                      <w:sz w:val="21"/>
                      <w:szCs w:val="21"/>
                    </w:rPr>
                    <w:t>本项目选用符合国家标准的设备，采取基础减震、建筑隔声、距离衰减等措施。</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both"/>
                    <w:textAlignment w:val="auto"/>
                    <w:rPr>
                      <w:rFonts w:hint="default" w:ascii="Times New Roman" w:hAnsi="Times New Roman" w:eastAsia="宋体" w:cs="Times New Roman"/>
                      <w:spacing w:val="0"/>
                      <w:w w:val="100"/>
                      <w:position w:val="0"/>
                      <w:sz w:val="21"/>
                      <w:szCs w:val="21"/>
                      <w:lang w:eastAsia="zh-CN"/>
                    </w:rPr>
                  </w:pPr>
                  <w:r>
                    <w:rPr>
                      <w:rFonts w:hint="default" w:ascii="Times New Roman" w:hAnsi="Times New Roman" w:eastAsia="宋体" w:cs="Times New Roman"/>
                      <w:spacing w:val="0"/>
                      <w:w w:val="100"/>
                      <w:position w:val="0"/>
                      <w:sz w:val="21"/>
                      <w:szCs w:val="21"/>
                      <w:lang w:eastAsia="zh-CN"/>
                    </w:rPr>
                    <w:t>与环评一致</w:t>
                  </w:r>
                </w:p>
              </w:tc>
            </w:tr>
          </w:tbl>
          <w:p>
            <w:pPr>
              <w:spacing w:beforeLines="50" w:line="360" w:lineRule="auto"/>
              <w:jc w:val="center"/>
              <w:rPr>
                <w:rFonts w:ascii="Times New Roman" w:hAnsi="Times New Roman" w:cs="Times New Roman"/>
                <w:b/>
                <w:sz w:val="24"/>
              </w:rPr>
            </w:pPr>
            <w:r>
              <w:rPr>
                <w:rFonts w:ascii="Times New Roman" w:hAnsi="Times New Roman" w:cs="Times New Roman"/>
                <w:b/>
                <w:sz w:val="24"/>
              </w:rPr>
              <w:t>表2-2 主要</w:t>
            </w:r>
            <w:r>
              <w:rPr>
                <w:rFonts w:hint="eastAsia" w:ascii="Times New Roman" w:hAnsi="Times New Roman" w:cs="Times New Roman"/>
                <w:b/>
                <w:sz w:val="24"/>
              </w:rPr>
              <w:t>设备</w:t>
            </w:r>
            <w:r>
              <w:rPr>
                <w:rFonts w:ascii="Times New Roman" w:hAnsi="Times New Roman" w:cs="Times New Roman"/>
                <w:b/>
                <w:sz w:val="24"/>
              </w:rPr>
              <w:t>一览表</w:t>
            </w:r>
          </w:p>
          <w:tbl>
            <w:tblPr>
              <w:tblStyle w:val="30"/>
              <w:tblW w:w="8321" w:type="dxa"/>
              <w:jc w:val="center"/>
              <w:tblLayout w:type="fixed"/>
              <w:tblCellMar>
                <w:top w:w="0" w:type="dxa"/>
                <w:left w:w="0" w:type="dxa"/>
                <w:bottom w:w="0" w:type="dxa"/>
                <w:right w:w="0" w:type="dxa"/>
              </w:tblCellMar>
            </w:tblPr>
            <w:tblGrid>
              <w:gridCol w:w="691"/>
              <w:gridCol w:w="2282"/>
              <w:gridCol w:w="1593"/>
              <w:gridCol w:w="1593"/>
              <w:gridCol w:w="2157"/>
            </w:tblGrid>
            <w:tr>
              <w:tblPrEx>
                <w:tblCellMar>
                  <w:top w:w="0" w:type="dxa"/>
                  <w:left w:w="0" w:type="dxa"/>
                  <w:bottom w:w="0" w:type="dxa"/>
                  <w:right w:w="0" w:type="dxa"/>
                </w:tblCellMar>
              </w:tblPrEx>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rPr>
                    <w:t>序号</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rPr>
                    <w:t>设备名称</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pacing w:val="0"/>
                      <w:w w:val="100"/>
                      <w:sz w:val="21"/>
                      <w:szCs w:val="21"/>
                      <w:lang w:eastAsia="zh-CN"/>
                    </w:rPr>
                  </w:pPr>
                  <w:r>
                    <w:rPr>
                      <w:rFonts w:hint="default" w:ascii="Times New Roman" w:hAnsi="Times New Roman" w:eastAsia="宋体" w:cs="Times New Roman"/>
                      <w:b/>
                      <w:bCs/>
                      <w:spacing w:val="0"/>
                      <w:w w:val="100"/>
                      <w:sz w:val="21"/>
                      <w:szCs w:val="21"/>
                      <w:lang w:eastAsia="zh-CN"/>
                    </w:rPr>
                    <w:t>型号</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b/>
                      <w:bCs/>
                      <w:spacing w:val="0"/>
                      <w:w w:val="100"/>
                      <w:sz w:val="21"/>
                      <w:szCs w:val="21"/>
                      <w:lang w:eastAsia="zh-CN"/>
                    </w:rPr>
                    <w:t>环评</w:t>
                  </w:r>
                  <w:r>
                    <w:rPr>
                      <w:rFonts w:hint="default" w:ascii="Times New Roman" w:hAnsi="Times New Roman" w:eastAsia="宋体" w:cs="Times New Roman"/>
                      <w:b/>
                      <w:bCs/>
                      <w:spacing w:val="0"/>
                      <w:w w:val="100"/>
                      <w:sz w:val="21"/>
                      <w:szCs w:val="21"/>
                    </w:rPr>
                    <w:t>数量（台）</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spacing w:val="0"/>
                      <w:w w:val="100"/>
                      <w:sz w:val="21"/>
                      <w:szCs w:val="21"/>
                    </w:rPr>
                  </w:pPr>
                  <w:r>
                    <w:rPr>
                      <w:rFonts w:hint="default" w:ascii="Times New Roman" w:hAnsi="Times New Roman" w:eastAsia="宋体" w:cs="Times New Roman"/>
                      <w:b/>
                      <w:bCs/>
                      <w:spacing w:val="0"/>
                      <w:w w:val="100"/>
                      <w:sz w:val="21"/>
                      <w:szCs w:val="21"/>
                      <w:lang w:eastAsia="zh-CN"/>
                    </w:rPr>
                    <w:t>实际</w:t>
                  </w:r>
                  <w:r>
                    <w:rPr>
                      <w:rFonts w:hint="default" w:ascii="Times New Roman" w:hAnsi="Times New Roman" w:eastAsia="宋体" w:cs="Times New Roman"/>
                      <w:b/>
                      <w:bCs/>
                      <w:spacing w:val="0"/>
                      <w:w w:val="100"/>
                      <w:sz w:val="21"/>
                      <w:szCs w:val="21"/>
                    </w:rPr>
                    <w:t>数量（台）</w:t>
                  </w:r>
                </w:p>
              </w:tc>
            </w:tr>
            <w:tr>
              <w:tblPrEx>
                <w:tblCellMar>
                  <w:top w:w="0" w:type="dxa"/>
                  <w:left w:w="0" w:type="dxa"/>
                  <w:bottom w:w="0" w:type="dxa"/>
                  <w:right w:w="0" w:type="dxa"/>
                </w:tblCellMar>
              </w:tblPrEx>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DR</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lang w:val="en-US" w:eastAsia="zh-CN"/>
                    </w:rPr>
                    <w:t>uDR560i-A</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1</w:t>
                  </w:r>
                </w:p>
              </w:tc>
            </w:tr>
            <w:tr>
              <w:tblPrEx>
                <w:tblCellMar>
                  <w:top w:w="0" w:type="dxa"/>
                  <w:left w:w="0" w:type="dxa"/>
                  <w:bottom w:w="0" w:type="dxa"/>
                  <w:right w:w="0" w:type="dxa"/>
                </w:tblCellMar>
              </w:tblPrEx>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2</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彩超</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lang w:val="en-US" w:eastAsia="zh-CN"/>
                    </w:rPr>
                    <w:t>HD5G</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1</w:t>
                  </w:r>
                </w:p>
              </w:tc>
            </w:tr>
            <w:tr>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3</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心电图仪</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0</w:t>
                  </w:r>
                </w:p>
              </w:tc>
            </w:tr>
            <w:tr>
              <w:trPr>
                <w:trHeight w:val="63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4</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五分类全自动血细胞分析仪</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lang w:val="en-US" w:eastAsia="zh-CN"/>
                    </w:rPr>
                    <w:t>URIT-5180</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1</w:t>
                  </w:r>
                </w:p>
              </w:tc>
            </w:tr>
            <w:tr>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5</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尿液分析仪</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lang w:val="en-US" w:eastAsia="zh-CN"/>
                    </w:rPr>
                    <w:t>U500</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1</w:t>
                  </w:r>
                </w:p>
              </w:tc>
            </w:tr>
            <w:tr>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6</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全自动生化分析仪</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lang w:val="en-US" w:eastAsia="zh-CN"/>
                    </w:rPr>
                    <w:t>URIT-8026</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1</w:t>
                  </w:r>
                </w:p>
              </w:tc>
            </w:tr>
            <w:tr>
              <w:trPr>
                <w:trHeight w:val="44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7</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医用低速离心机</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0"/>
                      <w:sz w:val="21"/>
                      <w:szCs w:val="21"/>
                      <w:lang w:val="en-US" w:eastAsia="zh-CN" w:bidi="ar-SA"/>
                    </w:rPr>
                  </w:pPr>
                  <w:r>
                    <w:rPr>
                      <w:rFonts w:hint="default" w:ascii="Times New Roman" w:hAnsi="Times New Roman" w:eastAsia="宋体" w:cs="Times New Roman"/>
                      <w:spacing w:val="0"/>
                      <w:w w:val="100"/>
                      <w:sz w:val="21"/>
                      <w:szCs w:val="21"/>
                      <w:lang w:val="en-US" w:eastAsia="zh-CN"/>
                    </w:rPr>
                    <w:t>TD-5M</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1</w:t>
                  </w:r>
                </w:p>
              </w:tc>
            </w:tr>
            <w:tr>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rPr>
                    <w:t>8</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碳13</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0</w:t>
                  </w:r>
                </w:p>
              </w:tc>
            </w:tr>
            <w:tr>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rPr>
                    <w:t>9</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血沉仪</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0</w:t>
                  </w:r>
                </w:p>
              </w:tc>
            </w:tr>
            <w:tr>
              <w:trPr>
                <w:trHeight w:val="407" w:hRule="exact"/>
                <w:jc w:val="center"/>
              </w:trPr>
              <w:tc>
                <w:tcPr>
                  <w:tcW w:w="691"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0"/>
                      <w:w w:val="100"/>
                      <w:kern w:val="2"/>
                      <w:sz w:val="21"/>
                      <w:szCs w:val="21"/>
                      <w:lang w:val="en-US" w:eastAsia="zh-CN" w:bidi="ar-SA"/>
                    </w:rPr>
                  </w:pPr>
                  <w:r>
                    <w:rPr>
                      <w:rFonts w:hint="default" w:ascii="Times New Roman" w:hAnsi="Times New Roman" w:eastAsia="宋体" w:cs="Times New Roman"/>
                      <w:spacing w:val="0"/>
                      <w:w w:val="100"/>
                      <w:sz w:val="21"/>
                      <w:szCs w:val="21"/>
                    </w:rPr>
                    <w:t>10</w:t>
                  </w:r>
                </w:p>
              </w:tc>
              <w:tc>
                <w:tcPr>
                  <w:tcW w:w="2282"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煎药机</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lang w:val="en-US" w:eastAsia="zh-CN"/>
                    </w:rPr>
                    <w:t>YJMD30B-G</w:t>
                  </w:r>
                </w:p>
              </w:tc>
              <w:tc>
                <w:tcPr>
                  <w:tcW w:w="1593"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rPr>
                  </w:pPr>
                  <w:r>
                    <w:rPr>
                      <w:rFonts w:hint="default" w:ascii="Times New Roman" w:hAnsi="Times New Roman" w:eastAsia="宋体" w:cs="Times New Roman"/>
                      <w:spacing w:val="0"/>
                      <w:w w:val="100"/>
                      <w:sz w:val="21"/>
                      <w:szCs w:val="21"/>
                    </w:rPr>
                    <w:t>10</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pacing w:val="0"/>
                      <w:w w:val="100"/>
                      <w:sz w:val="21"/>
                      <w:szCs w:val="21"/>
                      <w:lang w:val="en-US" w:eastAsia="zh-CN"/>
                    </w:rPr>
                  </w:pPr>
                  <w:r>
                    <w:rPr>
                      <w:rFonts w:hint="default" w:ascii="Times New Roman" w:hAnsi="Times New Roman" w:eastAsia="宋体" w:cs="Times New Roman"/>
                      <w:spacing w:val="0"/>
                      <w:w w:val="100"/>
                      <w:sz w:val="21"/>
                      <w:szCs w:val="21"/>
                      <w:lang w:val="en-US" w:eastAsia="zh-CN"/>
                    </w:rPr>
                    <w:t>8</w:t>
                  </w:r>
                </w:p>
              </w:tc>
            </w:tr>
          </w:tbl>
          <w:tbl>
            <w:tblPr>
              <w:tblStyle w:val="30"/>
              <w:tblpPr w:leftFromText="180" w:rightFromText="180" w:vertAnchor="text" w:horzAnchor="page" w:tblpX="102" w:tblpY="468"/>
              <w:tblOverlap w:val="never"/>
              <w:tblW w:w="832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40"/>
              <w:gridCol w:w="5115"/>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64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序号</w:t>
                  </w:r>
                </w:p>
              </w:tc>
              <w:tc>
                <w:tcPr>
                  <w:tcW w:w="10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污染源</w:t>
                  </w:r>
                </w:p>
              </w:tc>
              <w:tc>
                <w:tcPr>
                  <w:tcW w:w="5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采取的环保措施及环保设施</w:t>
                  </w:r>
                </w:p>
              </w:tc>
              <w:tc>
                <w:tcPr>
                  <w:tcW w:w="1494"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1</w:t>
                  </w:r>
                </w:p>
              </w:tc>
              <w:tc>
                <w:tcPr>
                  <w:tcW w:w="10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废水</w:t>
                  </w:r>
                </w:p>
              </w:tc>
              <w:tc>
                <w:tcPr>
                  <w:tcW w:w="5115"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污水处理站</w:t>
                  </w:r>
                </w:p>
              </w:tc>
              <w:tc>
                <w:tcPr>
                  <w:tcW w:w="1494" w:type="dxa"/>
                  <w:tcBorders>
                    <w:tl2br w:val="nil"/>
                    <w:tr2bl w:val="nil"/>
                  </w:tcBorders>
                  <w:vAlign w:val="center"/>
                </w:tcPr>
                <w:p>
                  <w:pPr>
                    <w:jc w:val="center"/>
                    <w:rPr>
                      <w:rFonts w:hint="eastAsia" w:ascii="Times New Roman" w:hAnsi="Times New Roman" w:cs="Times New Roman" w:eastAsiaTheme="minorEastAsia"/>
                      <w:lang w:eastAsia="zh-CN"/>
                    </w:rPr>
                  </w:pPr>
                  <w:r>
                    <w:rPr>
                      <w:rFonts w:hint="eastAsia" w:ascii="Times New Roman" w:hAnsi="Times New Roman" w:cs="Times New Roman"/>
                      <w:color w:val="0000FF"/>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44"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2</w:t>
                  </w:r>
                </w:p>
              </w:tc>
              <w:tc>
                <w:tcPr>
                  <w:tcW w:w="10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废气</w:t>
                  </w:r>
                </w:p>
              </w:tc>
              <w:tc>
                <w:tcPr>
                  <w:tcW w:w="5115" w:type="dxa"/>
                  <w:tcBorders>
                    <w:tl2br w:val="nil"/>
                    <w:tr2bl w:val="nil"/>
                  </w:tcBorders>
                  <w:vAlign w:val="center"/>
                </w:tcPr>
                <w:p>
                  <w:pPr>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污水处理站投加除臭剂</w:t>
                  </w:r>
                </w:p>
              </w:tc>
              <w:tc>
                <w:tcPr>
                  <w:tcW w:w="1494" w:type="dxa"/>
                  <w:tcBorders>
                    <w:tl2br w:val="nil"/>
                    <w:tr2bl w:val="nil"/>
                  </w:tcBorders>
                  <w:vAlign w:val="center"/>
                </w:tcPr>
                <w:p>
                  <w:pPr>
                    <w:jc w:val="center"/>
                    <w:rPr>
                      <w:rFonts w:hint="eastAsia" w:ascii="Times New Roman" w:hAnsi="Times New Roman" w:cs="Times New Roman" w:eastAsiaTheme="minorEastAsia"/>
                      <w:lang w:eastAsia="zh-CN"/>
                    </w:rPr>
                  </w:pPr>
                  <w:r>
                    <w:rPr>
                      <w:rFonts w:hint="eastAsia" w:ascii="Times New Roman" w:hAnsi="Times New Roman" w:cs="Times New Roman"/>
                    </w:rPr>
                    <w:t>0.</w:t>
                  </w:r>
                  <w:r>
                    <w:rPr>
                      <w:rFonts w:hint="eastAsia" w:ascii="Times New Roman" w:hAnsi="Times New Roman"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644"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3</w:t>
                  </w:r>
                </w:p>
              </w:tc>
              <w:tc>
                <w:tcPr>
                  <w:tcW w:w="10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噪声</w:t>
                  </w:r>
                </w:p>
              </w:tc>
              <w:tc>
                <w:tcPr>
                  <w:tcW w:w="5115"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墙体隔声、消声、距离衰减、加强管理等措施</w:t>
                  </w:r>
                </w:p>
              </w:tc>
              <w:tc>
                <w:tcPr>
                  <w:tcW w:w="1494" w:type="dxa"/>
                  <w:tcBorders>
                    <w:tl2br w:val="nil"/>
                    <w:tr2bl w:val="nil"/>
                  </w:tcBorders>
                  <w:vAlign w:val="center"/>
                </w:tcPr>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644"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4</w:t>
                  </w:r>
                </w:p>
              </w:tc>
              <w:tc>
                <w:tcPr>
                  <w:tcW w:w="1040"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固废</w:t>
                  </w:r>
                </w:p>
              </w:tc>
              <w:tc>
                <w:tcPr>
                  <w:tcW w:w="5115" w:type="dxa"/>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医疗废物暂存间</w:t>
                  </w:r>
                </w:p>
              </w:tc>
              <w:tc>
                <w:tcPr>
                  <w:tcW w:w="1494" w:type="dxa"/>
                  <w:tcBorders>
                    <w:tl2br w:val="nil"/>
                    <w:tr2bl w:val="nil"/>
                  </w:tcBorders>
                  <w:vAlign w:val="center"/>
                </w:tcPr>
                <w:p>
                  <w:pPr>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1684" w:type="dxa"/>
                  <w:gridSpan w:val="2"/>
                  <w:tcBorders>
                    <w:tl2br w:val="nil"/>
                    <w:tr2bl w:val="nil"/>
                  </w:tcBorders>
                  <w:vAlign w:val="center"/>
                </w:tcPr>
                <w:p>
                  <w:pPr>
                    <w:jc w:val="center"/>
                    <w:rPr>
                      <w:rFonts w:ascii="Times New Roman" w:hAnsi="Times New Roman" w:cs="Times New Roman"/>
                    </w:rPr>
                  </w:pPr>
                  <w:r>
                    <w:rPr>
                      <w:rFonts w:ascii="Times New Roman" w:hAnsi="Times New Roman" w:cs="Times New Roman"/>
                    </w:rPr>
                    <w:t>合　计</w:t>
                  </w:r>
                </w:p>
              </w:tc>
              <w:tc>
                <w:tcPr>
                  <w:tcW w:w="5115" w:type="dxa"/>
                  <w:tcBorders>
                    <w:tl2br w:val="nil"/>
                    <w:tr2bl w:val="nil"/>
                  </w:tcBorders>
                  <w:vAlign w:val="center"/>
                </w:tcPr>
                <w:p>
                  <w:pPr>
                    <w:jc w:val="center"/>
                    <w:rPr>
                      <w:rFonts w:ascii="Times New Roman" w:hAnsi="Times New Roman" w:cs="Times New Roman"/>
                    </w:rPr>
                  </w:pPr>
                  <w:r>
                    <w:rPr>
                      <w:rFonts w:ascii="Times New Roman" w:hAnsi="Times New Roman" w:cs="Times New Roman"/>
                    </w:rPr>
                    <w:t>—</w:t>
                  </w:r>
                </w:p>
              </w:tc>
              <w:tc>
                <w:tcPr>
                  <w:tcW w:w="1494" w:type="dxa"/>
                  <w:tcBorders>
                    <w:tl2br w:val="nil"/>
                    <w:tr2bl w:val="nil"/>
                  </w:tcBorders>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color w:val="0000FF"/>
                      <w:lang w:val="en-US" w:eastAsia="zh-CN"/>
                    </w:rPr>
                    <w:t>10</w:t>
                  </w:r>
                </w:p>
              </w:tc>
            </w:tr>
          </w:tbl>
          <w:p>
            <w:pPr>
              <w:spacing w:line="360" w:lineRule="auto"/>
              <w:jc w:val="center"/>
              <w:rPr>
                <w:rFonts w:ascii="Times New Roman" w:hAnsi="Times New Roman" w:cs="Times New Roman"/>
                <w:b/>
                <w:sz w:val="24"/>
                <w:szCs w:val="24"/>
                <w:highlight w:val="none"/>
              </w:rPr>
            </w:pPr>
            <w:r>
              <w:rPr>
                <w:rFonts w:ascii="Times New Roman" w:hAnsi="Times New Roman" w:cs="Times New Roman"/>
                <w:b/>
                <w:sz w:val="24"/>
                <w:szCs w:val="24"/>
                <w:highlight w:val="none"/>
              </w:rPr>
              <w:t>表2-4 环保投资一览表</w:t>
            </w:r>
          </w:p>
          <w:p>
            <w:pPr>
              <w:spacing w:line="360" w:lineRule="auto"/>
              <w:rPr>
                <w:rFonts w:ascii="Times New Roman" w:hAnsi="Times New Roman" w:cs="Times New Roman"/>
                <w:b/>
                <w:sz w:val="24"/>
                <w:szCs w:val="24"/>
              </w:rPr>
            </w:pPr>
            <w:r>
              <w:rPr>
                <w:rFonts w:ascii="Times New Roman" w:hAnsi="Times New Roman" w:cs="Times New Roman"/>
                <w:b/>
                <w:sz w:val="24"/>
                <w:szCs w:val="24"/>
              </w:rPr>
              <w:t>项目地理位置及平面布置:</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项目建设地点位于山东省济南市</w:t>
            </w:r>
            <w:r>
              <w:rPr>
                <w:rFonts w:hint="eastAsia" w:ascii="Times New Roman" w:hAnsi="Times New Roman" w:cs="Times New Roman"/>
                <w:sz w:val="24"/>
                <w:szCs w:val="24"/>
                <w:lang w:eastAsia="zh-CN"/>
              </w:rPr>
              <w:t>山东省济南市历下区趵突泉街道趵突泉南路6号</w:t>
            </w:r>
            <w:r>
              <w:rPr>
                <w:rFonts w:hint="eastAsia" w:ascii="Times New Roman" w:hAnsi="Times New Roman" w:cs="Times New Roman"/>
                <w:sz w:val="24"/>
                <w:szCs w:val="24"/>
              </w:rPr>
              <w:t>。项目地理位置图见图2-1。</w:t>
            </w:r>
          </w:p>
          <w:p>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从外环境敏感目标保护来看，项目区</w:t>
            </w:r>
            <w:r>
              <w:rPr>
                <w:rFonts w:hint="eastAsia" w:ascii="Times New Roman" w:hAnsi="Times New Roman" w:cs="Times New Roman"/>
                <w:sz w:val="24"/>
                <w:szCs w:val="24"/>
                <w:lang w:eastAsia="zh-CN"/>
              </w:rPr>
              <w:t>边界</w:t>
            </w:r>
            <w:r>
              <w:rPr>
                <w:rFonts w:hint="eastAsia" w:ascii="Times New Roman" w:hAnsi="Times New Roman" w:cs="Times New Roman"/>
                <w:sz w:val="24"/>
                <w:szCs w:val="24"/>
              </w:rPr>
              <w:t>敏感点为位于院区</w:t>
            </w:r>
            <w:r>
              <w:rPr>
                <w:rFonts w:hint="eastAsia" w:ascii="Times New Roman" w:hAnsi="Times New Roman" w:cs="Times New Roman"/>
                <w:sz w:val="24"/>
                <w:szCs w:val="24"/>
                <w:lang w:eastAsia="zh-CN"/>
              </w:rPr>
              <w:t>东</w:t>
            </w:r>
            <w:r>
              <w:rPr>
                <w:rFonts w:hint="eastAsia" w:ascii="Times New Roman" w:hAnsi="Times New Roman" w:cs="Times New Roman"/>
                <w:sz w:val="24"/>
                <w:szCs w:val="24"/>
              </w:rPr>
              <w:t>侧</w:t>
            </w:r>
            <w:r>
              <w:rPr>
                <w:rFonts w:hint="eastAsia" w:ascii="Times New Roman" w:hAnsi="Times New Roman" w:cs="Times New Roman"/>
                <w:sz w:val="24"/>
                <w:szCs w:val="24"/>
                <w:lang w:eastAsia="zh-CN"/>
              </w:rPr>
              <w:t>2</w:t>
            </w:r>
            <w:r>
              <w:rPr>
                <w:rFonts w:hint="eastAsia" w:ascii="Times New Roman" w:hAnsi="Times New Roman" w:cs="Times New Roman"/>
                <w:sz w:val="24"/>
                <w:szCs w:val="24"/>
              </w:rPr>
              <w:t>m的杉槁园街小区</w:t>
            </w:r>
            <w:r>
              <w:rPr>
                <w:rFonts w:hint="eastAsia" w:ascii="Times New Roman" w:hAnsi="Times New Roman" w:cs="Times New Roman"/>
                <w:sz w:val="24"/>
                <w:szCs w:val="24"/>
                <w:lang w:eastAsia="zh-CN"/>
              </w:rPr>
              <w:t>、北侧3.5m的南关清真寺，东</w:t>
            </w:r>
            <w:r>
              <w:rPr>
                <w:rFonts w:hint="eastAsia" w:ascii="Times New Roman" w:hAnsi="Times New Roman" w:cs="Times New Roman"/>
                <w:sz w:val="24"/>
                <w:szCs w:val="24"/>
              </w:rPr>
              <w:t>南侧</w:t>
            </w:r>
            <w:r>
              <w:rPr>
                <w:rFonts w:hint="eastAsia" w:ascii="Times New Roman" w:hAnsi="Times New Roman" w:cs="Times New Roman"/>
                <w:sz w:val="24"/>
                <w:szCs w:val="24"/>
                <w:lang w:eastAsia="zh-CN"/>
              </w:rPr>
              <w:t>6</w:t>
            </w:r>
            <w:r>
              <w:rPr>
                <w:rFonts w:hint="eastAsia" w:ascii="Times New Roman" w:hAnsi="Times New Roman" w:cs="Times New Roman"/>
                <w:sz w:val="24"/>
                <w:szCs w:val="24"/>
              </w:rPr>
              <w:t>m的南券门巷小区</w:t>
            </w:r>
            <w:r>
              <w:rPr>
                <w:rFonts w:hint="eastAsia" w:ascii="Times New Roman" w:hAnsi="Times New Roman" w:cs="Times New Roman"/>
                <w:sz w:val="24"/>
                <w:szCs w:val="24"/>
                <w:highlight w:val="none"/>
              </w:rPr>
              <w:t>，项</w:t>
            </w:r>
            <w:r>
              <w:rPr>
                <w:rFonts w:hint="eastAsia" w:ascii="Times New Roman" w:hAnsi="Times New Roman" w:cs="Times New Roman"/>
                <w:sz w:val="24"/>
                <w:szCs w:val="24"/>
              </w:rPr>
              <w:t>目采取各项污染防治措施后，对周边敏感点影响较小，基本不会对周边敏感点造成较大影响。周边环境图见图2-2。</w:t>
            </w:r>
            <w:r>
              <w:rPr>
                <w:rFonts w:hint="eastAsia" w:ascii="Times New Roman" w:hAnsi="Times New Roman" w:cs="Times New Roman"/>
                <w:sz w:val="24"/>
                <w:szCs w:val="24"/>
                <w:highlight w:val="none"/>
              </w:rPr>
              <w:t>总平面布置图</w:t>
            </w:r>
            <w:r>
              <w:rPr>
                <w:rFonts w:hint="eastAsia" w:ascii="Times New Roman" w:hAnsi="Times New Roman" w:cs="Times New Roman"/>
                <w:sz w:val="24"/>
                <w:szCs w:val="24"/>
                <w:highlight w:val="none"/>
                <w:lang w:eastAsia="zh-CN"/>
              </w:rPr>
              <w:t>及各楼层布置图</w:t>
            </w:r>
            <w:r>
              <w:rPr>
                <w:rFonts w:hint="eastAsia" w:ascii="Times New Roman" w:hAnsi="Times New Roman" w:cs="Times New Roman"/>
                <w:sz w:val="24"/>
                <w:szCs w:val="24"/>
                <w:highlight w:val="none"/>
              </w:rPr>
              <w:t>见</w:t>
            </w:r>
            <w:r>
              <w:rPr>
                <w:rFonts w:hint="eastAsia" w:ascii="Times New Roman" w:hAnsi="Times New Roman" w:cs="Times New Roman"/>
                <w:sz w:val="24"/>
                <w:szCs w:val="24"/>
                <w:highlight w:val="none"/>
                <w:lang w:eastAsia="zh-CN"/>
              </w:rPr>
              <w:t>附图</w:t>
            </w:r>
            <w:r>
              <w:rPr>
                <w:rFonts w:hint="eastAsia" w:ascii="Times New Roman" w:hAnsi="Times New Roman" w:cs="Times New Roman"/>
                <w:sz w:val="24"/>
                <w:szCs w:val="24"/>
                <w:highlight w:val="none"/>
              </w:rPr>
              <w:t>。</w:t>
            </w:r>
          </w:p>
          <w:p>
            <w:pPr>
              <w:spacing w:line="360" w:lineRule="auto"/>
              <w:jc w:val="center"/>
              <w:rPr>
                <w:rFonts w:ascii="Times New Roman" w:hAnsi="Times New Roman" w:eastAsia="宋体" w:cs="Times New Roman"/>
                <w:b/>
                <w:sz w:val="24"/>
                <w:szCs w:val="24"/>
              </w:rPr>
            </w:pPr>
            <w:r>
              <w:drawing>
                <wp:anchor distT="0" distB="0" distL="114300" distR="114300" simplePos="0" relativeHeight="251661312" behindDoc="0" locked="0" layoutInCell="1" allowOverlap="1">
                  <wp:simplePos x="0" y="0"/>
                  <wp:positionH relativeFrom="column">
                    <wp:posOffset>4444365</wp:posOffset>
                  </wp:positionH>
                  <wp:positionV relativeFrom="paragraph">
                    <wp:posOffset>67945</wp:posOffset>
                  </wp:positionV>
                  <wp:extent cx="677545" cy="679450"/>
                  <wp:effectExtent l="9525" t="9525" r="17780" b="15875"/>
                  <wp:wrapNone/>
                  <wp:docPr id="29"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95"/>
                          <pic:cNvPicPr>
                            <a:picLocks noChangeAspect="1"/>
                          </pic:cNvPicPr>
                        </pic:nvPicPr>
                        <pic:blipFill>
                          <a:blip r:embed="rId10"/>
                          <a:srcRect l="5348" t="5649" r="3423"/>
                          <a:stretch>
                            <a:fillRect/>
                          </a:stretch>
                        </pic:blipFill>
                        <pic:spPr>
                          <a:xfrm>
                            <a:off x="0" y="0"/>
                            <a:ext cx="677545" cy="679450"/>
                          </a:xfrm>
                          <a:prstGeom prst="rect">
                            <a:avLst/>
                          </a:prstGeom>
                          <a:noFill/>
                          <a:ln w="9525" cap="flat" cmpd="sng">
                            <a:solidFill>
                              <a:srgbClr val="000000"/>
                            </a:solidFill>
                            <a:prstDash val="solid"/>
                            <a:miter/>
                            <a:headEnd type="none" w="med" len="med"/>
                            <a:tailEnd type="none" w="med" len="med"/>
                          </a:ln>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1346835</wp:posOffset>
                      </wp:positionH>
                      <wp:positionV relativeFrom="paragraph">
                        <wp:posOffset>682625</wp:posOffset>
                      </wp:positionV>
                      <wp:extent cx="1140460" cy="307340"/>
                      <wp:effectExtent l="12700" t="12700" r="161290" b="918210"/>
                      <wp:wrapNone/>
                      <wp:docPr id="27" name="矩形标注 27"/>
                      <wp:cNvGraphicFramePr/>
                      <a:graphic xmlns:a="http://schemas.openxmlformats.org/drawingml/2006/main">
                        <a:graphicData uri="http://schemas.microsoft.com/office/word/2010/wordprocessingShape">
                          <wps:wsp>
                            <wps:cNvSpPr/>
                            <wps:spPr>
                              <a:xfrm>
                                <a:off x="2489835" y="6311900"/>
                                <a:ext cx="1140460" cy="307340"/>
                              </a:xfrm>
                              <a:prstGeom prst="wedgeRectCallout">
                                <a:avLst>
                                  <a:gd name="adj1" fmla="val 61636"/>
                                  <a:gd name="adj2" fmla="val 3394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sz w:val="24"/>
                                      <w:szCs w:val="24"/>
                                      <w:lang w:eastAsia="zh-CN"/>
                                    </w:rPr>
                                  </w:pPr>
                                  <w:r>
                                    <w:rPr>
                                      <w:rFonts w:hint="eastAsia"/>
                                      <w:color w:val="FF0000"/>
                                      <w:sz w:val="24"/>
                                      <w:szCs w:val="24"/>
                                      <w:lang w:eastAsia="zh-CN"/>
                                    </w:rPr>
                                    <w:t>公司位置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6.05pt;margin-top:53.75pt;height:24.2pt;width:89.8pt;z-index:251660288;v-text-anchor:middle;mso-width-relative:page;mso-height-relative:page;" filled="f" stroked="t" coordsize="21600,21600" o:gfxdata="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AOiwq2AAAAAsBAAAPAAAAAAAAAAEAIAAAACIAAABkcnMvZG93bnJl&#10;di54bWxQSwECFAAUAAAACACHTuJAbkSmyqgCAAAxBQAADgAAAAAAAAABACAAAAAnAQAAZHJzL2Uy&#10;b0RvYy54bWxQSwUGAAAAAAYABgBZAQAAQQYAAAAA&#10;" adj="24113,84124">
                      <v:fill on="f" focussize="0,0"/>
                      <v:stroke weight="2pt" color="#000000 [3213]" joinstyle="round"/>
                      <v:imagedata o:title=""/>
                      <o:lock v:ext="edit" aspectratio="f"/>
                      <v:textbox>
                        <w:txbxContent>
                          <w:p>
                            <w:pPr>
                              <w:jc w:val="center"/>
                              <w:rPr>
                                <w:rFonts w:hint="eastAsia" w:eastAsiaTheme="minorEastAsia"/>
                                <w:color w:val="FF0000"/>
                                <w:sz w:val="24"/>
                                <w:szCs w:val="24"/>
                                <w:lang w:eastAsia="zh-CN"/>
                              </w:rPr>
                            </w:pPr>
                            <w:r>
                              <w:rPr>
                                <w:rFonts w:hint="eastAsia"/>
                                <w:color w:val="FF0000"/>
                                <w:sz w:val="24"/>
                                <w:szCs w:val="24"/>
                                <w:lang w:eastAsia="zh-CN"/>
                              </w:rPr>
                              <w:t>公司位置</w:t>
                            </w:r>
                          </w:p>
                        </w:txbxContent>
                      </v:textbox>
                    </v:shape>
                  </w:pict>
                </mc:Fallback>
              </mc:AlternateContent>
            </w:r>
            <w:r>
              <w:drawing>
                <wp:inline distT="0" distB="0" distL="114300" distR="114300">
                  <wp:extent cx="4953000" cy="4201160"/>
                  <wp:effectExtent l="15875" t="15875" r="22225" b="311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rcRect t="8111"/>
                          <a:stretch>
                            <a:fillRect/>
                          </a:stretch>
                        </pic:blipFill>
                        <pic:spPr>
                          <a:xfrm>
                            <a:off x="0" y="0"/>
                            <a:ext cx="4953000" cy="4201160"/>
                          </a:xfrm>
                          <a:prstGeom prst="rect">
                            <a:avLst/>
                          </a:prstGeom>
                          <a:noFill/>
                          <a:ln w="15875" cmpd="sng">
                            <a:solidFill>
                              <a:schemeClr val="tx1"/>
                            </a:solidFill>
                            <a:prstDash val="solid"/>
                          </a:ln>
                        </pic:spPr>
                      </pic:pic>
                    </a:graphicData>
                  </a:graphic>
                </wp:inline>
              </w:drawing>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图2-1项目地理位置</w:t>
            </w:r>
            <w:r>
              <w:rPr>
                <w:rFonts w:hint="eastAsia" w:ascii="Times New Roman" w:hAnsi="Times New Roman" w:eastAsia="宋体" w:cs="Times New Roman"/>
                <w:b/>
                <w:sz w:val="24"/>
                <w:szCs w:val="24"/>
              </w:rPr>
              <w:t>图</w:t>
            </w:r>
          </w:p>
          <w:p>
            <w:pPr>
              <w:spacing w:line="360" w:lineRule="auto"/>
              <w:jc w:val="center"/>
              <w:rPr>
                <w:rFonts w:hint="eastAsia" w:ascii="Times New Roman" w:hAnsi="Times New Roman" w:cs="Times New Roman" w:eastAsiaTheme="minorEastAsia"/>
                <w:b/>
                <w:sz w:val="24"/>
                <w:szCs w:val="24"/>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1270635</wp:posOffset>
                      </wp:positionH>
                      <wp:positionV relativeFrom="paragraph">
                        <wp:posOffset>1184910</wp:posOffset>
                      </wp:positionV>
                      <wp:extent cx="1140460" cy="307340"/>
                      <wp:effectExtent l="12700" t="12700" r="161290" b="918210"/>
                      <wp:wrapNone/>
                      <wp:docPr id="32" name="矩形标注 32"/>
                      <wp:cNvGraphicFramePr/>
                      <a:graphic xmlns:a="http://schemas.openxmlformats.org/drawingml/2006/main">
                        <a:graphicData uri="http://schemas.microsoft.com/office/word/2010/wordprocessingShape">
                          <wps:wsp>
                            <wps:cNvSpPr/>
                            <wps:spPr>
                              <a:xfrm>
                                <a:off x="0" y="0"/>
                                <a:ext cx="1140460" cy="307340"/>
                              </a:xfrm>
                              <a:prstGeom prst="wedgeRectCallout">
                                <a:avLst>
                                  <a:gd name="adj1" fmla="val 61636"/>
                                  <a:gd name="adj2" fmla="val 33946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Theme="minorEastAsia"/>
                                      <w:color w:val="FF0000"/>
                                      <w:sz w:val="24"/>
                                      <w:szCs w:val="24"/>
                                      <w:lang w:eastAsia="zh-CN"/>
                                    </w:rPr>
                                  </w:pPr>
                                  <w:r>
                                    <w:rPr>
                                      <w:rFonts w:hint="eastAsia"/>
                                      <w:color w:val="FF0000"/>
                                      <w:sz w:val="24"/>
                                      <w:szCs w:val="24"/>
                                      <w:lang w:eastAsia="zh-CN"/>
                                    </w:rPr>
                                    <w:t>公司位置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00.05pt;margin-top:93.3pt;height:24.2pt;width:89.8pt;z-index:251663360;v-text-anchor:middle;mso-width-relative:page;mso-height-relative:page;" filled="f" stroked="t" coordsize="21600,21600" o:gfxdata="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kaQBa2AAAAAsBAAAPAAAAAAAAAAEAIAAAACIAAABkcnMvZG93bnJldi54bWxQSwEC&#10;FAAUAAAACACHTuJAZywj258CAAAlBQAADgAAAAAAAAABACAAAAAnAQAAZHJzL2Uyb0RvYy54bWxQ&#10;SwUGAAAAAAYABgBZAQAAOAYAAAAA&#10;" adj="24113,84124">
                      <v:fill on="f" focussize="0,0"/>
                      <v:stroke weight="2pt" color="#FF0000 [3204]" joinstyle="round"/>
                      <v:imagedata o:title=""/>
                      <o:lock v:ext="edit" aspectratio="f"/>
                      <v:textbox>
                        <w:txbxContent>
                          <w:p>
                            <w:pPr>
                              <w:jc w:val="center"/>
                              <w:rPr>
                                <w:rFonts w:hint="eastAsia" w:eastAsiaTheme="minorEastAsia"/>
                                <w:color w:val="FF0000"/>
                                <w:sz w:val="24"/>
                                <w:szCs w:val="24"/>
                                <w:lang w:eastAsia="zh-CN"/>
                              </w:rPr>
                            </w:pPr>
                            <w:r>
                              <w:rPr>
                                <w:rFonts w:hint="eastAsia"/>
                                <w:color w:val="FF0000"/>
                                <w:sz w:val="24"/>
                                <w:szCs w:val="24"/>
                                <w:lang w:eastAsia="zh-CN"/>
                              </w:rPr>
                              <w:t>公司位置</w:t>
                            </w:r>
                          </w:p>
                        </w:txbxContent>
                      </v:textbox>
                    </v:shape>
                  </w:pict>
                </mc:Fallback>
              </mc:AlternateContent>
            </w:r>
            <w:r>
              <w:drawing>
                <wp:anchor distT="0" distB="0" distL="114300" distR="114300" simplePos="0" relativeHeight="251662336" behindDoc="0" locked="0" layoutInCell="1" allowOverlap="1">
                  <wp:simplePos x="0" y="0"/>
                  <wp:positionH relativeFrom="column">
                    <wp:posOffset>4298950</wp:posOffset>
                  </wp:positionH>
                  <wp:positionV relativeFrom="paragraph">
                    <wp:posOffset>183515</wp:posOffset>
                  </wp:positionV>
                  <wp:extent cx="677545" cy="679450"/>
                  <wp:effectExtent l="9525" t="9525" r="17780" b="15875"/>
                  <wp:wrapNone/>
                  <wp:docPr id="31"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95"/>
                          <pic:cNvPicPr>
                            <a:picLocks noChangeAspect="1"/>
                          </pic:cNvPicPr>
                        </pic:nvPicPr>
                        <pic:blipFill>
                          <a:blip r:embed="rId10"/>
                          <a:srcRect l="5348" t="5649" r="3423"/>
                          <a:stretch>
                            <a:fillRect/>
                          </a:stretch>
                        </pic:blipFill>
                        <pic:spPr>
                          <a:xfrm>
                            <a:off x="0" y="0"/>
                            <a:ext cx="677545" cy="67945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highlight w:val="none"/>
                <w:lang w:eastAsia="zh-CN"/>
              </w:rPr>
              <w:drawing>
                <wp:inline distT="0" distB="0" distL="114300" distR="114300">
                  <wp:extent cx="4665345" cy="4751705"/>
                  <wp:effectExtent l="0" t="0" r="0" b="0"/>
                  <wp:docPr id="92" name="图片 27" descr="页面提取自－中鲁环评.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7" descr="页面提取自－中鲁环评.pdf"/>
                          <pic:cNvPicPr>
                            <a:picLocks noChangeAspect="1"/>
                          </pic:cNvPicPr>
                        </pic:nvPicPr>
                        <pic:blipFill>
                          <a:blip r:embed="rId12"/>
                          <a:srcRect l="22851" t="15114" r="29476" b="16215"/>
                          <a:stretch>
                            <a:fillRect/>
                          </a:stretch>
                        </pic:blipFill>
                        <pic:spPr>
                          <a:xfrm>
                            <a:off x="0" y="0"/>
                            <a:ext cx="4665345" cy="4751705"/>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图2-</w:t>
            </w:r>
            <w:r>
              <w:rPr>
                <w:rFonts w:hint="eastAsia" w:ascii="Times New Roman" w:hAnsi="Times New Roman" w:eastAsia="宋体" w:cs="Times New Roman"/>
                <w:b/>
                <w:sz w:val="24"/>
                <w:szCs w:val="24"/>
              </w:rPr>
              <w:t>2</w:t>
            </w:r>
            <w:r>
              <w:rPr>
                <w:rFonts w:ascii="Times New Roman" w:hAnsi="Times New Roman" w:eastAsia="宋体" w:cs="Times New Roman"/>
                <w:b/>
                <w:sz w:val="24"/>
                <w:szCs w:val="24"/>
              </w:rPr>
              <w:t>项目</w:t>
            </w:r>
            <w:r>
              <w:rPr>
                <w:rFonts w:hint="eastAsia" w:ascii="Times New Roman" w:hAnsi="Times New Roman" w:eastAsia="宋体" w:cs="Times New Roman"/>
                <w:b/>
                <w:sz w:val="24"/>
                <w:szCs w:val="24"/>
              </w:rPr>
              <w:t>周边环境保护图</w:t>
            </w:r>
          </w:p>
          <w:p>
            <w:pPr>
              <w:spacing w:beforeLines="20" w:line="360" w:lineRule="auto"/>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14:textFill>
                  <w14:solidFill>
                    <w14:schemeClr w14:val="tx1"/>
                  </w14:solidFill>
                </w14:textFill>
              </w:rPr>
              <w:t>原辅材料消耗及水平衡：</w:t>
            </w:r>
          </w:p>
          <w:p>
            <w:pPr>
              <w:pStyle w:val="26"/>
              <w:kinsoku w:val="0"/>
              <w:overflowPunct w:val="0"/>
              <w:autoSpaceDE w:val="0"/>
              <w:autoSpaceDN w:val="0"/>
              <w:adjustRightInd w:val="0"/>
              <w:spacing w:before="0" w:beforeAutospacing="0" w:after="0" w:afterAutospacing="0" w:line="36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原辅材料消耗：</w:t>
            </w:r>
          </w:p>
          <w:p>
            <w:pPr>
              <w:pStyle w:val="26"/>
              <w:kinsoku w:val="0"/>
              <w:overflowPunct w:val="0"/>
              <w:autoSpaceDE w:val="0"/>
              <w:autoSpaceDN w:val="0"/>
              <w:adjustRightInd w:val="0"/>
              <w:spacing w:before="0" w:beforeAutospacing="0" w:after="0" w:afterAutospacing="0" w:line="360" w:lineRule="auto"/>
              <w:ind w:firstLine="480" w:firstLineChars="20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本项目主要原辅材料见表2-</w:t>
            </w:r>
            <w:r>
              <w:rPr>
                <w:rFonts w:hint="eastAsia" w:ascii="Times New Roman" w:hAnsi="Times New Roman" w:cs="Times New Roman"/>
                <w:color w:val="000000" w:themeColor="text1"/>
                <w:sz w:val="24"/>
                <w:szCs w:val="24"/>
                <w:lang w:val="en-US" w:eastAsia="zh-CN"/>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w:t>
            </w:r>
          </w:p>
          <w:p>
            <w:pPr>
              <w:pStyle w:val="26"/>
              <w:kinsoku w:val="0"/>
              <w:overflowPunct w:val="0"/>
              <w:autoSpaceDE w:val="0"/>
              <w:autoSpaceDN w:val="0"/>
              <w:adjustRightInd w:val="0"/>
              <w:spacing w:before="0" w:beforeAutospacing="0" w:after="0" w:afterAutospacing="0" w:line="360"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表2-</w:t>
            </w:r>
            <w:r>
              <w:rPr>
                <w:rFonts w:hint="eastAsia" w:ascii="Times New Roman" w:hAnsi="Times New Roman" w:cs="Times New Roman"/>
                <w:b/>
                <w:bCs/>
                <w:color w:val="000000" w:themeColor="text1"/>
                <w:sz w:val="24"/>
                <w:szCs w:val="24"/>
                <w:lang w:val="en-US" w:eastAsia="zh-CN"/>
                <w14:textFill>
                  <w14:solidFill>
                    <w14:schemeClr w14:val="tx1"/>
                  </w14:solidFill>
                </w14:textFill>
              </w:rPr>
              <w:t xml:space="preserve">4 </w:t>
            </w:r>
            <w:r>
              <w:rPr>
                <w:rFonts w:ascii="Times New Roman" w:hAnsi="Times New Roman" w:cs="Times New Roman"/>
                <w:b/>
                <w:bCs/>
                <w:color w:val="000000" w:themeColor="text1"/>
                <w:sz w:val="24"/>
                <w:szCs w:val="24"/>
                <w14:textFill>
                  <w14:solidFill>
                    <w14:schemeClr w14:val="tx1"/>
                  </w14:solidFill>
                </w14:textFill>
              </w:rPr>
              <w:t>主要原辅材料一览表</w:t>
            </w:r>
          </w:p>
          <w:tbl>
            <w:tblPr>
              <w:tblStyle w:val="3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2460"/>
              <w:gridCol w:w="1"/>
              <w:gridCol w:w="2629"/>
              <w:gridCol w:w="1"/>
              <w:gridCol w:w="1720"/>
              <w:gridCol w:w="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序号</w:t>
                  </w:r>
                </w:p>
              </w:tc>
              <w:tc>
                <w:tcPr>
                  <w:tcW w:w="246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名称</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eastAsia="zh-CN"/>
                    </w:rPr>
                    <w:t>环评</w:t>
                  </w:r>
                  <w:r>
                    <w:rPr>
                      <w:rFonts w:hint="default" w:ascii="Times New Roman" w:hAnsi="Times New Roman" w:eastAsia="宋体" w:cs="Times New Roman"/>
                      <w:b/>
                      <w:bCs/>
                      <w:sz w:val="21"/>
                      <w:szCs w:val="21"/>
                    </w:rPr>
                    <w:t>年用量</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lang w:eastAsia="zh-CN"/>
                    </w:rPr>
                    <w:t>实际年用</w:t>
                  </w:r>
                  <w:r>
                    <w:rPr>
                      <w:rFonts w:hint="default" w:ascii="Times New Roman" w:hAnsi="Times New Roman" w:eastAsia="宋体" w:cs="Times New Roman"/>
                      <w:b/>
                      <w:bCs/>
                      <w:sz w:val="21"/>
                      <w:szCs w:val="21"/>
                    </w:rPr>
                    <w:t>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246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西药</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9000</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z w:val="21"/>
                      <w:szCs w:val="21"/>
                    </w:rPr>
                    <w:t>盒</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9000</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z w:val="21"/>
                      <w:szCs w:val="21"/>
                    </w:rPr>
                    <w:t>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246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中成药</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11000</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z w:val="21"/>
                      <w:szCs w:val="21"/>
                    </w:rPr>
                    <w:t>盒</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11000</w:t>
                  </w:r>
                  <w:r>
                    <w:rPr>
                      <w:rFonts w:hint="default" w:ascii="Times New Roman" w:hAnsi="Times New Roman" w:eastAsia="宋体" w:cs="Times New Roman"/>
                      <w:spacing w:val="-57"/>
                      <w:sz w:val="21"/>
                      <w:szCs w:val="21"/>
                    </w:rPr>
                    <w:t xml:space="preserve"> </w:t>
                  </w:r>
                  <w:r>
                    <w:rPr>
                      <w:rFonts w:hint="default" w:ascii="Times New Roman" w:hAnsi="Times New Roman" w:eastAsia="宋体" w:cs="Times New Roman"/>
                      <w:sz w:val="21"/>
                      <w:szCs w:val="21"/>
                    </w:rPr>
                    <w:t>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246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中草药</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吨</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400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4</w:t>
                  </w:r>
                </w:p>
              </w:tc>
              <w:tc>
                <w:tcPr>
                  <w:tcW w:w="246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75%酒精</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瓶</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300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1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5</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碘伏</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瓶</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100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6</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棉签</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z w:val="21"/>
                      <w:szCs w:val="21"/>
                    </w:rPr>
                    <w:t>包</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80</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z w:val="21"/>
                      <w:szCs w:val="21"/>
                    </w:rPr>
                    <w:t>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7</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棉球</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z w:val="21"/>
                      <w:szCs w:val="21"/>
                    </w:rPr>
                    <w:t>包</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60</w:t>
                  </w:r>
                  <w:r>
                    <w:rPr>
                      <w:rFonts w:hint="default" w:ascii="Times New Roman" w:hAnsi="Times New Roman" w:eastAsia="宋体" w:cs="Times New Roman"/>
                      <w:spacing w:val="-53"/>
                      <w:sz w:val="21"/>
                      <w:szCs w:val="21"/>
                    </w:rPr>
                    <w:t xml:space="preserve"> </w:t>
                  </w:r>
                  <w:r>
                    <w:rPr>
                      <w:rFonts w:hint="default" w:ascii="Times New Roman" w:hAnsi="Times New Roman" w:eastAsia="宋体" w:cs="Times New Roman"/>
                      <w:sz w:val="21"/>
                      <w:szCs w:val="21"/>
                    </w:rPr>
                    <w:t>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8</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针灸针</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盒</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700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9</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压舌板</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包</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120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0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处方签</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本</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800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 w:type="dxa"/>
                <w:trHeight w:val="411" w:hRule="exact"/>
                <w:jc w:val="center"/>
              </w:trPr>
              <w:tc>
                <w:tcPr>
                  <w:tcW w:w="986"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460" w:type="dxa"/>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84</w:t>
                  </w:r>
                  <w:r>
                    <w:rPr>
                      <w:rFonts w:hint="default" w:ascii="Times New Roman" w:hAnsi="Times New Roman" w:eastAsia="宋体" w:cs="Times New Roman"/>
                      <w:spacing w:val="-56"/>
                      <w:sz w:val="21"/>
                      <w:szCs w:val="21"/>
                    </w:rPr>
                    <w:t xml:space="preserve"> </w:t>
                  </w:r>
                  <w:r>
                    <w:rPr>
                      <w:rFonts w:hint="default" w:ascii="Times New Roman" w:hAnsi="Times New Roman" w:eastAsia="宋体" w:cs="Times New Roman"/>
                      <w:sz w:val="21"/>
                      <w:szCs w:val="21"/>
                    </w:rPr>
                    <w:t>消毒液</w:t>
                  </w:r>
                </w:p>
              </w:tc>
              <w:tc>
                <w:tcPr>
                  <w:tcW w:w="2630"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瓶</w:t>
                  </w:r>
                </w:p>
              </w:tc>
              <w:tc>
                <w:tcPr>
                  <w:tcW w:w="1721" w:type="dxa"/>
                  <w:gridSpan w:val="2"/>
                  <w:tcBorders>
                    <w:tl2br w:val="nil"/>
                    <w:tr2bl w:val="nil"/>
                  </w:tcBorders>
                  <w:noWrap w:val="0"/>
                  <w:vAlign w:val="center"/>
                </w:tcPr>
                <w:p>
                  <w:pPr>
                    <w:pStyle w:val="6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400</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z w:val="21"/>
                      <w:szCs w:val="21"/>
                    </w:rPr>
                    <w:t>瓶</w:t>
                  </w:r>
                </w:p>
              </w:tc>
            </w:tr>
          </w:tbl>
          <w:p>
            <w:pPr>
              <w:spacing w:beforeLines="50"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0"/>
                <w14:textFill>
                  <w14:solidFill>
                    <w14:schemeClr w14:val="tx1"/>
                  </w14:solidFill>
                </w14:textFill>
              </w:rPr>
              <w:t>水平衡：</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1、给水</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不设置单独的洗衣房，病号服、床单等均委托外部单位清洗；医院不设置餐厅。项目用水主要包括生活用水（医务人员、行政后勤人员）、门诊用水、病房用水、检验化验用水、手术用水、煎药用水及煎药罐洗涤用水、地面保洁用水等，均由市政管网供给。</w:t>
            </w:r>
          </w:p>
          <w:p>
            <w:pPr>
              <w:spacing w:line="360" w:lineRule="auto"/>
              <w:ind w:firstLine="480" w:firstLineChars="20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2、排水</w:t>
            </w:r>
          </w:p>
          <w:p>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不设传染病门诊，不设传染病病房，确诊患者转移至传染病医院进行医疗诊治；不设口腔科，医学影像使用设备均全自动电脑成像，不会产生洗印重金属废水；检验化验室不使用重铬酸钾、三氧化铬、铬酸钾、含镉化物、含砷化物等重金属的化学试剂，不使用含氰化学试剂，因此无含铬、含镉、含砷、含氰的废水产生。</w:t>
            </w:r>
          </w:p>
          <w:p>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本项目废水主要为生活污水、医疗废水（门诊废水、病房废水、化验废水、手术废水）、煎药罐清洗废水、地面保洁废水。</w:t>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drawing>
                <wp:inline distT="0" distB="0" distL="114300" distR="114300">
                  <wp:extent cx="4229100" cy="5562600"/>
                  <wp:effectExtent l="0" t="0" r="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3"/>
                          <a:stretch>
                            <a:fillRect/>
                          </a:stretch>
                        </pic:blipFill>
                        <pic:spPr>
                          <a:xfrm>
                            <a:off x="0" y="0"/>
                            <a:ext cx="4229100" cy="556260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szCs w:val="24"/>
              </w:rPr>
            </w:pPr>
            <w:r>
              <w:rPr>
                <w:rFonts w:hint="eastAsia" w:ascii="Times New Roman" w:hAnsi="Times New Roman" w:eastAsia="宋体" w:cs="Times New Roman"/>
                <w:b/>
                <w:sz w:val="24"/>
                <w:szCs w:val="24"/>
              </w:rPr>
              <w:t>图2-4 项目水平衡图</w:t>
            </w:r>
          </w:p>
          <w:p>
            <w:pPr>
              <w:spacing w:line="360" w:lineRule="auto"/>
              <w:rPr>
                <w:rFonts w:ascii="Times New Roman" w:hAnsi="Times New Roman" w:eastAsia="宋体" w:cs="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主要工艺流程及产污环节：</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①挂号：患者到医院咨询室进行咨询后，挂号候诊。该过程主要为就诊人员就诊期间产生的废水和职工生活污水、职工生活垃圾。</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②初步诊断：然后进入诊室初步诊断。该过程主要为就诊人员废水和职工生活污水、职工生活垃圾。</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治疗：医师根据病人身体情况作出初步诊断，并提出治疗意见。对患者的病情能够一次完成诊断的，给予诊疗方案、处方及相应处置，患者缴费取药后离开医院；如需对患者做其他项目的检查，应开具检查申请单，患者拿检查单去收费处缴费，到相应检查地点进行检查，然后持检查结果回诊室，由医师根据检查结果进行综合分析诊断，开具处方或诊疗单，患者凭治疗单和治疗收费凭据到治疗室、手术室等科室进行治疗，复检无事后出院。本项目手术室仅进行门诊手术，主要进行外科手术：常见体表肿物切除，如脂肪瘤、皮脂腺囊肿（粉瘤）、皮肤赘生物、皮肤肿瘤，甲沟炎拔甲治疗、脓肿切开引流等；泌尿科手术：包皮环切术，膀胱镜检查、内痔注射术，肛周脓肿切开引流术，肛裂切除术，肛门括约肌松解术，肛瘘切除术，肛瘘挂线术等。该过程主要为就诊人员废水、职工生活污水、病房废水、检验化验废水、手术室废水、职工生活垃圾、门诊生活垃圾、住院生活垃圾、废包装材料、中药渣、未污染的输液瓶和医疗废物、废紫外灯管。</w:t>
            </w:r>
          </w:p>
          <w:p>
            <w:pPr>
              <w:spacing w:line="360" w:lineRule="auto"/>
              <w:ind w:firstLine="482" w:firstLineChars="200"/>
              <w:rPr>
                <w:rFonts w:hint="eastAsia" w:ascii="Times New Roman" w:hAnsi="Times New Roman" w:cs="Times New Roman"/>
                <w:b/>
                <w:bCs/>
                <w:color w:val="000000" w:themeColor="text1"/>
                <w:sz w:val="24"/>
                <w:szCs w:val="24"/>
                <w14:textFill>
                  <w14:solidFill>
                    <w14:schemeClr w14:val="tx1"/>
                  </w14:solidFill>
                </w14:textFill>
              </w:rPr>
            </w:pPr>
            <w:r>
              <w:rPr>
                <w:rFonts w:hint="eastAsia" w:ascii="Times New Roman" w:hAnsi="Times New Roman" w:cs="Times New Roman"/>
                <w:b/>
                <w:bCs/>
                <w:color w:val="000000" w:themeColor="text1"/>
                <w:sz w:val="24"/>
                <w:szCs w:val="24"/>
                <w14:textFill>
                  <w14:solidFill>
                    <w14:schemeClr w14:val="tx1"/>
                  </w14:solidFill>
                </w14:textFill>
              </w:rPr>
              <w:t>产污环节：</w:t>
            </w:r>
          </w:p>
          <w:p>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（1）废气</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废气主要为污水处理设施恶臭、煎药产生的气味、病房通风废气等。</w:t>
            </w:r>
          </w:p>
          <w:p>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（2）废水 废水主要为职工生活污水、就诊人员废水、病房废水、检验化验废水、手术室废水、地面保洁废水、煎药罐洗涤废水，废水主要污染物为COD、氨氮等。本项目废水无含重金属废水、洗印废水、放射性废水等特殊性质的废水。</w:t>
            </w:r>
          </w:p>
          <w:p>
            <w:pPr>
              <w:spacing w:line="360" w:lineRule="auto"/>
              <w:ind w:firstLine="480" w:firstLineChars="200"/>
              <w:rPr>
                <w:rFonts w:hint="eastAsia"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（3）噪声 本项目主要噪声源为运营过程中产生的噪声主要为中央空调机组、污水处理站、通风系统运行时产生的设备噪声。</w:t>
            </w:r>
          </w:p>
          <w:p>
            <w:pPr>
              <w:spacing w:line="360" w:lineRule="auto"/>
              <w:ind w:firstLine="480" w:firstLineChars="200"/>
              <w:rPr>
                <w:rFonts w:hint="eastAsia" w:ascii="Times New Roman" w:hAnsi="Times New Roman" w:cs="Times New Roman" w:eastAsiaTheme="minorEastAsia"/>
                <w:color w:val="000000" w:themeColor="text1"/>
                <w:sz w:val="24"/>
                <w:szCs w:val="24"/>
                <w:lang w:eastAsia="zh-CN"/>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（4）固体废物 项目产生的固体废物包括一般固体废物、危险废物及生活垃圾。一般固体废物包括未被污染的包装材料、塑料（玻璃）输液瓶（袋）、药渣等；危险废物主要包括主要包括医疗废物、废紫外灯管、化粪池污泥、污水处理栅渣及污泥</w:t>
            </w:r>
            <w:r>
              <w:rPr>
                <w:rFonts w:hint="eastAsia" w:ascii="Times New Roman" w:hAnsi="Times New Roman" w:cs="Times New Roman"/>
                <w:color w:val="000000" w:themeColor="text1"/>
                <w:sz w:val="24"/>
                <w:szCs w:val="24"/>
                <w:lang w:eastAsia="zh-CN"/>
                <w14:textFill>
                  <w14:solidFill>
                    <w14:schemeClr w14:val="tx1"/>
                  </w14:solidFill>
                </w14:textFill>
              </w:rPr>
              <w:t>。</w:t>
            </w:r>
          </w:p>
          <w:p>
            <w:pPr>
              <w:pStyle w:val="29"/>
              <w:ind w:left="0" w:leftChars="0" w:firstLine="0" w:firstLineChars="0"/>
              <w:jc w:val="center"/>
              <w:rPr>
                <w:rFonts w:ascii="Times New Roman" w:hAnsi="Times New Roman" w:cs="Times New Roman"/>
                <w:color w:val="000000" w:themeColor="text1"/>
                <w:sz w:val="24"/>
                <w:szCs w:val="24"/>
                <w14:textFill>
                  <w14:solidFill>
                    <w14:schemeClr w14:val="tx1"/>
                  </w14:solidFill>
                </w14:textFill>
              </w:rPr>
            </w:pPr>
            <w:r>
              <w:drawing>
                <wp:inline distT="0" distB="0" distL="114300" distR="114300">
                  <wp:extent cx="4676775" cy="3648075"/>
                  <wp:effectExtent l="0" t="0" r="952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4"/>
                          <a:stretch>
                            <a:fillRect/>
                          </a:stretch>
                        </pic:blipFill>
                        <pic:spPr>
                          <a:xfrm>
                            <a:off x="0" y="0"/>
                            <a:ext cx="4676775" cy="3648075"/>
                          </a:xfrm>
                          <a:prstGeom prst="rect">
                            <a:avLst/>
                          </a:prstGeom>
                          <a:noFill/>
                          <a:ln>
                            <a:noFill/>
                          </a:ln>
                        </pic:spPr>
                      </pic:pic>
                    </a:graphicData>
                  </a:graphic>
                </wp:inline>
              </w:drawing>
            </w:r>
          </w:p>
          <w:p>
            <w:pPr>
              <w:spacing w:line="36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宋体" w:cs="Times New Roman"/>
                <w:b/>
                <w:sz w:val="24"/>
                <w:szCs w:val="24"/>
              </w:rPr>
              <w:t>图2-</w:t>
            </w:r>
            <w:r>
              <w:rPr>
                <w:rFonts w:hint="eastAsia" w:ascii="Times New Roman" w:hAnsi="Times New Roman" w:eastAsia="宋体" w:cs="Times New Roman"/>
                <w:b/>
                <w:sz w:val="24"/>
                <w:szCs w:val="24"/>
              </w:rPr>
              <w:t>5 项目流程及产污环节图</w:t>
            </w:r>
          </w:p>
          <w:p>
            <w:pPr>
              <w:autoSpaceDE w:val="0"/>
              <w:autoSpaceDN w:val="0"/>
              <w:adjustRightInd w:val="0"/>
              <w:spacing w:line="360" w:lineRule="auto"/>
              <w:rPr>
                <w:rFonts w:ascii="Times New Roman" w:hAnsi="Times New Roman" w:cs="Times New Roman"/>
                <w:b/>
                <w:spacing w:val="6"/>
                <w:sz w:val="24"/>
                <w:szCs w:val="24"/>
              </w:rPr>
            </w:pPr>
            <w:r>
              <w:rPr>
                <w:rFonts w:ascii="Times New Roman" w:hAnsi="Times New Roman" w:cs="Times New Roman"/>
                <w:b/>
                <w:spacing w:val="6"/>
                <w:sz w:val="24"/>
                <w:szCs w:val="24"/>
              </w:rPr>
              <w:t>项目变</w:t>
            </w:r>
            <w:r>
              <w:rPr>
                <w:rFonts w:hint="eastAsia" w:ascii="Times New Roman" w:hAnsi="Times New Roman" w:cs="Times New Roman"/>
                <w:b/>
                <w:spacing w:val="6"/>
                <w:sz w:val="24"/>
                <w:szCs w:val="24"/>
              </w:rPr>
              <w:t>更</w:t>
            </w:r>
            <w:r>
              <w:rPr>
                <w:rFonts w:ascii="Times New Roman" w:hAnsi="Times New Roman" w:cs="Times New Roman"/>
                <w:b/>
                <w:spacing w:val="6"/>
                <w:sz w:val="24"/>
                <w:szCs w:val="24"/>
              </w:rPr>
              <w:t>情况</w:t>
            </w:r>
          </w:p>
          <w:p>
            <w:pPr>
              <w:spacing w:line="360" w:lineRule="auto"/>
              <w:ind w:firstLine="480" w:firstLineChars="200"/>
              <w:rPr>
                <w:rFonts w:ascii="Times New Roman" w:hAnsi="Times New Roman" w:cs="Times New Roman"/>
                <w:sz w:val="24"/>
                <w:szCs w:val="24"/>
              </w:rPr>
            </w:pPr>
            <w:r>
              <w:rPr>
                <w:rFonts w:hint="default" w:ascii="Times New Roman" w:hAnsi="Times New Roman" w:cs="Times New Roman"/>
                <w:color w:val="000000"/>
                <w:sz w:val="24"/>
                <w:szCs w:val="24"/>
                <w:highlight w:val="none"/>
              </w:rPr>
              <w:t>经现场勘查，</w:t>
            </w:r>
            <w:r>
              <w:rPr>
                <w:rFonts w:hint="default" w:ascii="Times New Roman" w:hAnsi="Times New Roman" w:cs="Times New Roman"/>
                <w:color w:val="000000"/>
                <w:sz w:val="24"/>
                <w:szCs w:val="24"/>
                <w:highlight w:val="none"/>
                <w:lang w:eastAsia="zh-CN"/>
              </w:rPr>
              <w:t>本</w:t>
            </w:r>
            <w:r>
              <w:rPr>
                <w:rFonts w:hint="default" w:ascii="Times New Roman" w:hAnsi="Times New Roman" w:cs="Times New Roman"/>
                <w:color w:val="000000"/>
                <w:sz w:val="24"/>
                <w:szCs w:val="24"/>
                <w:highlight w:val="none"/>
              </w:rPr>
              <w:t>项目实际建设内容与环评及批复</w:t>
            </w:r>
            <w:r>
              <w:rPr>
                <w:rFonts w:hint="eastAsia" w:ascii="Times New Roman" w:hAnsi="Times New Roman" w:cs="Times New Roman"/>
                <w:color w:val="000000"/>
                <w:sz w:val="24"/>
                <w:szCs w:val="24"/>
                <w:highlight w:val="none"/>
                <w:lang w:eastAsia="zh-CN"/>
              </w:rPr>
              <w:t>相比较，危废间位置及建筑面积变更，由负一层变更至一层，</w:t>
            </w:r>
            <w:r>
              <w:rPr>
                <w:rFonts w:hint="eastAsia" w:ascii="Times New Roman" w:hAnsi="Times New Roman" w:cs="Times New Roman"/>
                <w:color w:val="0000FF"/>
                <w:sz w:val="24"/>
                <w:szCs w:val="24"/>
                <w:highlight w:val="none"/>
                <w:lang w:val="en-US" w:eastAsia="zh-CN"/>
              </w:rPr>
              <w:t>应急事故池位置移至大楼一层地下东北侧</w:t>
            </w:r>
            <w:r>
              <w:rPr>
                <w:rFonts w:hint="eastAsia" w:ascii="Times New Roman" w:hAnsi="Times New Roman" w:cs="Times New Roman"/>
                <w:color w:val="000000"/>
                <w:sz w:val="24"/>
                <w:szCs w:val="24"/>
                <w:highlight w:val="none"/>
                <w:lang w:val="en-US" w:eastAsia="zh-CN"/>
              </w:rPr>
              <w:t>，</w:t>
            </w:r>
            <w:r>
              <w:rPr>
                <w:rFonts w:hint="eastAsia" w:ascii="Times New Roman" w:hAnsi="Times New Roman" w:cs="Times New Roman"/>
                <w:color w:val="000000"/>
                <w:sz w:val="24"/>
                <w:szCs w:val="24"/>
                <w:highlight w:val="none"/>
                <w:lang w:eastAsia="zh-CN"/>
              </w:rPr>
              <w:t>楼层内科室布置部分变动，</w:t>
            </w:r>
            <w:r>
              <w:rPr>
                <w:rFonts w:hint="eastAsia" w:ascii="Times New Roman" w:hAnsi="Times New Roman" w:cs="Times New Roman"/>
                <w:color w:val="0000FF"/>
                <w:sz w:val="24"/>
                <w:szCs w:val="24"/>
                <w:highlight w:val="none"/>
                <w:lang w:val="en-US" w:eastAsia="zh-CN"/>
              </w:rPr>
              <w:t>心电图仪、碳13和血沉仪等检查、检验设备暂未安装</w:t>
            </w:r>
            <w:r>
              <w:rPr>
                <w:rFonts w:hint="eastAsia" w:ascii="Times New Roman" w:hAnsi="Times New Roman" w:cs="Times New Roman"/>
                <w:color w:val="0000FF"/>
                <w:sz w:val="24"/>
                <w:szCs w:val="24"/>
                <w:highlight w:val="none"/>
                <w:lang w:eastAsia="zh-CN"/>
              </w:rPr>
              <w:t>，</w:t>
            </w:r>
            <w:r>
              <w:rPr>
                <w:rFonts w:hint="eastAsia" w:ascii="Times New Roman" w:hAnsi="Times New Roman" w:cs="Times New Roman"/>
                <w:color w:val="000000"/>
                <w:sz w:val="24"/>
                <w:szCs w:val="24"/>
                <w:highlight w:val="none"/>
                <w:lang w:eastAsia="zh-CN"/>
              </w:rPr>
              <w:t>固废处置方式及其他建设内容均与环评阶段</w:t>
            </w:r>
            <w:r>
              <w:rPr>
                <w:rFonts w:hint="default" w:ascii="Times New Roman" w:hAnsi="Times New Roman" w:cs="Times New Roman"/>
                <w:color w:val="000000"/>
                <w:sz w:val="24"/>
                <w:szCs w:val="24"/>
                <w:highlight w:val="none"/>
              </w:rPr>
              <w:t>一致</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sz w:val="24"/>
                <w:szCs w:val="24"/>
                <w:lang w:val="zh-CN"/>
              </w:rPr>
              <w:t>该项目</w:t>
            </w:r>
            <w:r>
              <w:rPr>
                <w:rFonts w:ascii="Times New Roman" w:hAnsi="Times New Roman" w:eastAsia="宋体" w:cs="Times New Roman"/>
                <w:sz w:val="24"/>
              </w:rPr>
              <w:t>性质、规模、地点、生产工艺</w:t>
            </w:r>
            <w:r>
              <w:rPr>
                <w:rFonts w:hint="eastAsia" w:ascii="Times New Roman" w:hAnsi="Times New Roman" w:eastAsia="宋体" w:cs="Times New Roman"/>
                <w:sz w:val="24"/>
              </w:rPr>
              <w:t>均未发生重大变动</w:t>
            </w:r>
            <w:r>
              <w:rPr>
                <w:rFonts w:hint="eastAsia" w:ascii="Times New Roman" w:hAnsi="Times New Roman" w:cs="Times New Roman"/>
                <w:sz w:val="24"/>
                <w:szCs w:val="24"/>
              </w:rPr>
              <w:t>，</w:t>
            </w:r>
            <w:r>
              <w:rPr>
                <w:rFonts w:hint="eastAsia" w:ascii="Times New Roman" w:hAnsi="Times New Roman" w:cs="Times New Roman"/>
                <w:sz w:val="24"/>
                <w:szCs w:val="24"/>
                <w:lang w:val="zh-CN"/>
              </w:rPr>
              <w:t>根据《污染影响类建设项目重大变动清单（试行）的通知》（环办环评函【2020】688号）文，该项目无重大变更</w:t>
            </w:r>
            <w:r>
              <w:rPr>
                <w:rFonts w:hint="eastAsia" w:ascii="Times New Roman" w:hAnsi="Times New Roman" w:cs="Times New Roman"/>
                <w:sz w:val="24"/>
                <w:szCs w:val="24"/>
              </w:rPr>
              <w:t>。</w:t>
            </w:r>
          </w:p>
          <w:p>
            <w:pPr>
              <w:spacing w:line="360" w:lineRule="auto"/>
              <w:rPr>
                <w:rFonts w:ascii="Times New Roman" w:hAnsi="Times New Roman" w:cs="Times New Roman"/>
                <w:bCs/>
                <w:kern w:val="0"/>
                <w:sz w:val="24"/>
                <w:szCs w:val="24"/>
              </w:rPr>
            </w:pPr>
          </w:p>
        </w:tc>
      </w:tr>
    </w:tbl>
    <w:p>
      <w:pPr>
        <w:spacing w:line="360" w:lineRule="auto"/>
        <w:rPr>
          <w:rFonts w:ascii="Times New Roman" w:hAnsi="Times New Roman" w:cs="Times New Roman"/>
          <w:spacing w:val="6"/>
          <w:sz w:val="28"/>
          <w:szCs w:val="28"/>
        </w:rPr>
      </w:pPr>
    </w:p>
    <w:p>
      <w:pPr>
        <w:spacing w:line="360" w:lineRule="auto"/>
        <w:rPr>
          <w:rFonts w:ascii="Times New Roman" w:hAnsi="Times New Roman" w:cs="Times New Roman"/>
          <w:spacing w:val="6"/>
          <w:sz w:val="28"/>
          <w:szCs w:val="28"/>
        </w:rPr>
        <w:sectPr>
          <w:headerReference r:id="rId6" w:type="default"/>
          <w:pgSz w:w="11906" w:h="16838"/>
          <w:pgMar w:top="1440" w:right="1800" w:bottom="1843"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spacing w:before="0" w:after="0" w:line="240" w:lineRule="auto"/>
        <w:rPr>
          <w:rFonts w:ascii="Times New Roman" w:hAnsi="Times New Roman" w:cs="Times New Roman"/>
          <w:spacing w:val="6"/>
          <w:sz w:val="28"/>
          <w:szCs w:val="28"/>
        </w:rPr>
      </w:pPr>
      <w:bookmarkStart w:id="2" w:name="_Toc516087075"/>
      <w:r>
        <w:rPr>
          <w:rFonts w:ascii="Times New Roman" w:hAnsi="Times New Roman" w:cs="Times New Roman"/>
          <w:sz w:val="28"/>
          <w:szCs w:val="28"/>
        </w:rPr>
        <w:t>表三  主要污染源、污染物处理和排放</w:t>
      </w:r>
      <w:bookmarkEnd w:id="2"/>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53" w:hRule="atLeast"/>
          <w:jc w:val="center"/>
        </w:trPr>
        <w:tc>
          <w:tcPr>
            <w:tcW w:w="5000" w:type="pct"/>
          </w:tcPr>
          <w:p>
            <w:pPr>
              <w:spacing w:line="360" w:lineRule="auto"/>
              <w:rPr>
                <w:rFonts w:ascii="Times New Roman" w:hAnsi="Times New Roman" w:cs="Times New Roman"/>
                <w:b/>
                <w:sz w:val="28"/>
                <w:szCs w:val="28"/>
              </w:rPr>
            </w:pPr>
            <w:r>
              <w:rPr>
                <w:rFonts w:ascii="Times New Roman" w:hAnsi="Times New Roman" w:cs="Times New Roman"/>
                <w:b/>
                <w:sz w:val="28"/>
                <w:szCs w:val="28"/>
              </w:rPr>
              <w:t>主要污染源、污染物处理和排放：</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一、废水污染源及其治理措施</w:t>
            </w:r>
          </w:p>
          <w:p>
            <w:pPr>
              <w:spacing w:line="360" w:lineRule="auto"/>
              <w:ind w:firstLine="482" w:firstLineChars="20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rPr>
              <w:t>废水</w:t>
            </w:r>
            <w:r>
              <w:rPr>
                <w:rFonts w:hint="eastAsia" w:ascii="Times New Roman" w:hAnsi="Times New Roman" w:cs="Times New Roman"/>
                <w:b/>
                <w:bCs/>
                <w:sz w:val="24"/>
                <w:szCs w:val="24"/>
                <w:lang w:eastAsia="zh-CN"/>
              </w:rPr>
              <w:t>污染源</w:t>
            </w:r>
            <w:r>
              <w:rPr>
                <w:rFonts w:hint="eastAsia" w:ascii="Times New Roman" w:hAnsi="Times New Roman" w:cs="Times New Roman"/>
                <w:b/>
                <w:bCs/>
                <w:sz w:val="24"/>
                <w:szCs w:val="24"/>
                <w:lang w:val="en-US" w:eastAsia="zh-CN"/>
              </w:rPr>
              <w:t>:</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rPr>
              <w:t>主要为生活污水、医疗废水（门诊废水、病房废水、化验废水、手术废水）、 煎药罐清洗废水、地面保洁废水，废水量为11.815m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/d（4312.32m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/a）</w:t>
            </w:r>
            <w:r>
              <w:rPr>
                <w:rFonts w:hint="eastAsia" w:ascii="Times New Roman" w:hAnsi="Times New Roman" w:cs="Times New Roman"/>
                <w:sz w:val="24"/>
                <w:szCs w:val="24"/>
                <w:lang w:eastAsia="zh-CN"/>
              </w:rPr>
              <w:t>。</w:t>
            </w:r>
          </w:p>
          <w:p>
            <w:pPr>
              <w:spacing w:line="360" w:lineRule="auto"/>
              <w:ind w:firstLine="482" w:firstLineChars="200"/>
              <w:rPr>
                <w:rFonts w:hint="default" w:ascii="Times New Roman" w:hAnsi="Times New Roman" w:cs="Times New Roman"/>
                <w:sz w:val="24"/>
                <w:szCs w:val="24"/>
                <w:lang w:val="en-US" w:eastAsia="zh-CN"/>
              </w:rPr>
            </w:pPr>
            <w:r>
              <w:rPr>
                <w:rFonts w:hint="eastAsia" w:ascii="Times New Roman" w:hAnsi="Times New Roman" w:cs="Times New Roman"/>
                <w:b/>
                <w:bCs/>
                <w:sz w:val="24"/>
                <w:szCs w:val="24"/>
                <w:lang w:val="en-US" w:eastAsia="zh-CN"/>
              </w:rPr>
              <w:t>废水治理措施：</w:t>
            </w:r>
          </w:p>
          <w:p>
            <w:pPr>
              <w:spacing w:line="360" w:lineRule="auto"/>
              <w:ind w:firstLine="480" w:firstLineChars="200"/>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本项目依托现有化粪池，在主体建筑东侧新建一套一体化污水处理设施，污水处理设施占地面积约23m</w:t>
            </w:r>
            <w:r>
              <w:rPr>
                <w:rFonts w:hint="eastAsia" w:ascii="Times New Roman" w:hAnsi="Times New Roman" w:cs="Times New Roman"/>
                <w:sz w:val="24"/>
                <w:szCs w:val="24"/>
                <w:vertAlign w:val="superscript"/>
                <w:lang w:eastAsia="zh-CN"/>
              </w:rPr>
              <w:t>2</w:t>
            </w:r>
            <w:r>
              <w:rPr>
                <w:rFonts w:hint="eastAsia" w:ascii="Times New Roman" w:hAnsi="Times New Roman" w:cs="Times New Roman"/>
                <w:sz w:val="24"/>
                <w:szCs w:val="24"/>
                <w:lang w:eastAsia="zh-CN"/>
              </w:rPr>
              <w:t>（长8m宽2.864m），设计处理能力为14m</w:t>
            </w:r>
            <w:r>
              <w:rPr>
                <w:rFonts w:hint="eastAsia" w:ascii="Times New Roman" w:hAnsi="Times New Roman" w:cs="Times New Roman"/>
                <w:sz w:val="24"/>
                <w:szCs w:val="24"/>
                <w:vertAlign w:val="superscript"/>
                <w:lang w:eastAsia="zh-CN"/>
              </w:rPr>
              <w:t>3</w:t>
            </w:r>
            <w:r>
              <w:rPr>
                <w:rFonts w:hint="eastAsia" w:ascii="Times New Roman" w:hAnsi="Times New Roman" w:cs="Times New Roman"/>
                <w:sz w:val="24"/>
                <w:szCs w:val="24"/>
                <w:lang w:eastAsia="zh-CN"/>
              </w:rPr>
              <w:t>/d，处理工艺主要为“格栅+水解酸化+A/O+消毒”，污水经格栅过滤去除大的悬浮物、漂浮物后，在调节池将污水进行充分混合，保证污水均质、均量地进入下一环节，调节池调节的均质污水进入水解酸化池。利用水解酸化菌将有机污染物分解为小分子物质，提高废水生化性。污水在缺氧池内与回流的混合液混合，在厌氧微生物的作用下有机物大分子链被破坏，提高废水可生化性，有利于好氧微生物进一步分解有机物，同时降低部分COD</w:t>
            </w:r>
            <w:r>
              <w:rPr>
                <w:rFonts w:hint="eastAsia" w:ascii="Times New Roman" w:hAnsi="Times New Roman" w:cs="Times New Roman"/>
                <w:sz w:val="24"/>
                <w:szCs w:val="24"/>
                <w:vertAlign w:val="subscript"/>
                <w:lang w:eastAsia="zh-CN"/>
              </w:rPr>
              <w:t>Cr</w:t>
            </w:r>
            <w:r>
              <w:rPr>
                <w:rFonts w:hint="eastAsia" w:ascii="Times New Roman" w:hAnsi="Times New Roman" w:cs="Times New Roman"/>
                <w:sz w:val="24"/>
                <w:szCs w:val="24"/>
                <w:lang w:eastAsia="zh-CN"/>
              </w:rPr>
              <w:t>。废水经厌氧处理后溢流进好氧池，水中的有机物在好氧菌的分解下被大量去除。之后废水流入沉淀池。好氧池的出水进入沉淀池，停留一段时间，使悬浮颗粒沉降，同时，沉淀后的上清液进入消毒池。污水处理设施采</w:t>
            </w:r>
            <w:r>
              <w:rPr>
                <w:rFonts w:hint="eastAsia" w:ascii="Times New Roman" w:hAnsi="Times New Roman" w:cs="Times New Roman"/>
                <w:sz w:val="24"/>
                <w:szCs w:val="24"/>
                <w:highlight w:val="none"/>
                <w:lang w:eastAsia="zh-CN"/>
              </w:rPr>
              <w:t>用投加次氯酸钠消毒</w:t>
            </w:r>
            <w:r>
              <w:rPr>
                <w:rFonts w:hint="eastAsia" w:ascii="Times New Roman" w:hAnsi="Times New Roman" w:cs="Times New Roman"/>
                <w:sz w:val="24"/>
                <w:szCs w:val="24"/>
                <w:lang w:eastAsia="zh-CN"/>
              </w:rPr>
              <w:t>，其杀菌机理是破坏和氧化微生物的细胞膜、细胞质、酶系统和核酸，从而使细菌和病毒迅速灭活。人工投加次氯酸钠粉末至溶药罐，通过自动加药泵通过管道进入消毒池，次氯酸钠粉末一次投加300g，每星期投加两次，次氯酸钠使用量约0.03t/a。</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项目所有废水经管道收集后进入“化粪池+一体化污水处理设施”处理后满足《污水排入城镇下水道水质标准》（GB/T31962-2015）表1中A级标准、《山东省医疗机构污染物排放控制标准》（DB37/596-2020）表1中二级标准要求及光大水务（济南）有限公司一厂的进水水质要求，通过市政污水管网排入光大水务（济南）有限公司一厂进一步处理，达到《城镇污水处理厂污染物排放标准》（GB18918-2002）一级A标准、《济南市人民政府办公厅关于提高部分排污企业水污染物排放执行标准的通知》和《济南市人民政府办公厅关于济南市小清河流域执行水污染物区域排放限值的通知》（济政办字[2017]30号）排放限值相关规定（COD</w:t>
            </w:r>
            <w:r>
              <w:rPr>
                <w:rFonts w:hint="eastAsia" w:ascii="Times New Roman" w:hAnsi="Times New Roman" w:cs="Times New Roman"/>
                <w:sz w:val="24"/>
                <w:szCs w:val="24"/>
                <w:vertAlign w:val="subscript"/>
              </w:rPr>
              <w:t>Cr</w:t>
            </w:r>
            <w:r>
              <w:rPr>
                <w:rFonts w:hint="eastAsia" w:ascii="Times New Roman" w:hAnsi="Times New Roman" w:cs="Times New Roman"/>
                <w:sz w:val="24"/>
                <w:szCs w:val="24"/>
              </w:rPr>
              <w:t>≤45mg/L，氨氮≤2.0mg/L）后，外排小清河。</w:t>
            </w:r>
          </w:p>
          <w:p>
            <w:pPr>
              <w:pStyle w:val="37"/>
            </w:pPr>
            <w:r>
              <w:drawing>
                <wp:inline distT="0" distB="0" distL="114300" distR="114300">
                  <wp:extent cx="4610100" cy="1895475"/>
                  <wp:effectExtent l="0" t="0" r="0" b="952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5"/>
                          <a:stretch>
                            <a:fillRect/>
                          </a:stretch>
                        </pic:blipFill>
                        <pic:spPr>
                          <a:xfrm>
                            <a:off x="0" y="0"/>
                            <a:ext cx="4610100" cy="1895475"/>
                          </a:xfrm>
                          <a:prstGeom prst="rect">
                            <a:avLst/>
                          </a:prstGeom>
                          <a:noFill/>
                          <a:ln>
                            <a:noFill/>
                          </a:ln>
                        </pic:spPr>
                      </pic:pic>
                    </a:graphicData>
                  </a:graphic>
                </wp:inline>
              </w:drawing>
            </w:r>
          </w:p>
          <w:p>
            <w:pPr>
              <w:pStyle w:val="50"/>
              <w:bidi w:val="0"/>
              <w:rPr>
                <w:rFonts w:hint="eastAsia"/>
              </w:rPr>
            </w:pPr>
            <w:r>
              <w:rPr>
                <w:rFonts w:hint="eastAsia" w:eastAsia="宋体"/>
                <w:lang w:eastAsia="zh-CN"/>
              </w:rPr>
              <w:t>图</w:t>
            </w:r>
            <w:r>
              <w:rPr>
                <w:rFonts w:hint="eastAsia"/>
                <w:lang w:val="en-US" w:eastAsia="zh-CN"/>
              </w:rPr>
              <w:t>3</w:t>
            </w:r>
            <w:r>
              <w:t>-1一体化污水处理设施处理工艺图</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drawing>
                <wp:inline distT="0" distB="0" distL="114300" distR="114300">
                  <wp:extent cx="2290445" cy="3346450"/>
                  <wp:effectExtent l="0" t="0" r="14605" b="6350"/>
                  <wp:docPr id="8" name="图片 8" descr="988664e43a048007b53e9238830e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88664e43a048007b53e9238830e40e"/>
                          <pic:cNvPicPr>
                            <a:picLocks noChangeAspect="1"/>
                          </pic:cNvPicPr>
                        </pic:nvPicPr>
                        <pic:blipFill>
                          <a:blip r:embed="rId16"/>
                          <a:stretch>
                            <a:fillRect/>
                          </a:stretch>
                        </pic:blipFill>
                        <pic:spPr>
                          <a:xfrm>
                            <a:off x="0" y="0"/>
                            <a:ext cx="2290445" cy="3346450"/>
                          </a:xfrm>
                          <a:prstGeom prst="rect">
                            <a:avLst/>
                          </a:prstGeom>
                        </pic:spPr>
                      </pic:pic>
                    </a:graphicData>
                  </a:graphic>
                </wp:inline>
              </w:drawing>
            </w:r>
            <w:r>
              <w:rPr>
                <w:rFonts w:hint="eastAsia" w:ascii="Times New Roman" w:hAnsi="Times New Roman" w:cs="Times New Roman"/>
                <w:sz w:val="24"/>
                <w:szCs w:val="24"/>
                <w:lang w:val="en-US" w:eastAsia="zh-CN"/>
              </w:rPr>
              <w:t xml:space="preserve">  </w:t>
            </w:r>
            <w:r>
              <w:rPr>
                <w:rFonts w:hint="eastAsia" w:ascii="Times New Roman" w:hAnsi="Times New Roman" w:cs="Times New Roman" w:eastAsiaTheme="minorEastAsia"/>
                <w:sz w:val="24"/>
                <w:szCs w:val="24"/>
                <w:lang w:eastAsia="zh-CN"/>
              </w:rPr>
              <w:drawing>
                <wp:inline distT="0" distB="0" distL="114300" distR="114300">
                  <wp:extent cx="2177415" cy="3320415"/>
                  <wp:effectExtent l="0" t="0" r="13335" b="13335"/>
                  <wp:docPr id="10" name="图片 10" descr="348d6def858843960a205ae4bd1b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48d6def858843960a205ae4bd1b63e"/>
                          <pic:cNvPicPr>
                            <a:picLocks noChangeAspect="1"/>
                          </pic:cNvPicPr>
                        </pic:nvPicPr>
                        <pic:blipFill>
                          <a:blip r:embed="rId17"/>
                          <a:stretch>
                            <a:fillRect/>
                          </a:stretch>
                        </pic:blipFill>
                        <pic:spPr>
                          <a:xfrm>
                            <a:off x="0" y="0"/>
                            <a:ext cx="2177415" cy="3320415"/>
                          </a:xfrm>
                          <a:prstGeom prst="rect">
                            <a:avLst/>
                          </a:prstGeom>
                        </pic:spPr>
                      </pic:pic>
                    </a:graphicData>
                  </a:graphic>
                </wp:inline>
              </w:drawing>
            </w:r>
          </w:p>
          <w:p>
            <w:pPr>
              <w:pStyle w:val="50"/>
              <w:bidi w:val="0"/>
              <w:rPr>
                <w:rFonts w:hint="eastAsia" w:eastAsia="宋体"/>
                <w:lang w:eastAsia="zh-CN"/>
              </w:rPr>
            </w:pPr>
            <w:r>
              <w:rPr>
                <w:rFonts w:hint="eastAsia" w:eastAsia="宋体"/>
                <w:lang w:eastAsia="zh-CN"/>
              </w:rPr>
              <w:t>图</w:t>
            </w:r>
            <w:r>
              <w:rPr>
                <w:rFonts w:hint="eastAsia" w:eastAsia="宋体"/>
                <w:lang w:val="en-US" w:eastAsia="zh-CN"/>
              </w:rPr>
              <w:t xml:space="preserve">3-2  </w:t>
            </w:r>
            <w:r>
              <w:rPr>
                <w:rFonts w:hint="eastAsia" w:eastAsia="宋体"/>
                <w:lang w:eastAsia="zh-CN"/>
              </w:rPr>
              <w:t>污水处理站设施</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二、废气污染源及其治理措施</w:t>
            </w:r>
          </w:p>
          <w:p>
            <w:pPr>
              <w:spacing w:line="360" w:lineRule="auto"/>
              <w:ind w:firstLine="602" w:firstLineChars="250"/>
              <w:rPr>
                <w:rFonts w:hint="eastAsia" w:ascii="Times New Roman" w:hAnsi="Times New Roman" w:cs="Times New Roman"/>
                <w:b/>
                <w:bCs/>
                <w:sz w:val="24"/>
                <w:szCs w:val="24"/>
                <w:lang w:eastAsia="zh-CN"/>
              </w:rPr>
            </w:pPr>
            <w:r>
              <w:rPr>
                <w:rFonts w:hint="eastAsia" w:ascii="Times New Roman" w:hAnsi="Times New Roman" w:cs="Times New Roman"/>
                <w:b/>
                <w:bCs/>
                <w:sz w:val="24"/>
                <w:szCs w:val="24"/>
                <w:lang w:eastAsia="zh-CN"/>
              </w:rPr>
              <w:t>废气污染源：</w:t>
            </w:r>
          </w:p>
          <w:p>
            <w:pPr>
              <w:pStyle w:val="37"/>
              <w:rPr>
                <w:rFonts w:hint="eastAsia"/>
                <w:lang w:eastAsia="zh-CN"/>
              </w:rPr>
            </w:pPr>
            <w:r>
              <w:rPr>
                <w:rFonts w:hint="eastAsia"/>
                <w:lang w:eastAsia="zh-CN"/>
              </w:rPr>
              <w:t>本项目营运期废气主要为病房通风废气、污水处理设施恶臭和煎药废气。</w:t>
            </w:r>
          </w:p>
          <w:p>
            <w:pPr>
              <w:spacing w:line="360" w:lineRule="auto"/>
              <w:ind w:firstLine="602" w:firstLineChars="250"/>
              <w:rPr>
                <w:rFonts w:hint="eastAsia" w:ascii="Times New Roman" w:hAnsi="Times New Roman" w:cs="Times New Roman"/>
                <w:b/>
                <w:bCs/>
                <w:sz w:val="24"/>
                <w:szCs w:val="24"/>
                <w:lang w:eastAsia="zh-CN"/>
              </w:rPr>
            </w:pPr>
            <w:r>
              <w:rPr>
                <w:rFonts w:hint="eastAsia" w:ascii="Times New Roman" w:hAnsi="Times New Roman" w:cs="Times New Roman"/>
                <w:b/>
                <w:bCs/>
                <w:sz w:val="24"/>
                <w:szCs w:val="24"/>
                <w:lang w:eastAsia="zh-CN"/>
              </w:rPr>
              <w:t>治理措施：</w:t>
            </w:r>
          </w:p>
          <w:p>
            <w:pPr>
              <w:pStyle w:val="37"/>
              <w:rPr>
                <w:rFonts w:hint="eastAsia"/>
                <w:lang w:eastAsia="zh-CN"/>
              </w:rPr>
            </w:pPr>
            <w:r>
              <w:rPr>
                <w:rFonts w:hint="eastAsia"/>
                <w:lang w:eastAsia="zh-CN"/>
              </w:rPr>
              <w:t>病房通风废气主要为门诊、手术区、病房等产生的废气，可能含传染性的细菌和病毒，该部分废气产生量较少，且浓度很低。医院在运行过程中对病房区、手术室、门诊等科室定时消毒杀菌，从源头上控制带病原微生物废气的产生；同时定期检查各科室、部门通风排气情况。该医院严格执行消毒通风制度，可保证医院内空气质量达到标准。</w:t>
            </w:r>
          </w:p>
          <w:p>
            <w:pPr>
              <w:pStyle w:val="37"/>
              <w:rPr>
                <w:rFonts w:hint="eastAsia" w:ascii="Times New Roman" w:hAnsi="Times New Roman" w:cs="Times New Roman"/>
                <w:sz w:val="24"/>
                <w:szCs w:val="24"/>
              </w:rPr>
            </w:pPr>
            <w:r>
              <w:rPr>
                <w:rFonts w:hint="eastAsia"/>
                <w:lang w:eastAsia="zh-CN"/>
              </w:rPr>
              <w:t>恶臭</w:t>
            </w:r>
            <w:r>
              <w:rPr>
                <w:rFonts w:hint="eastAsia" w:ascii="Times New Roman" w:hAnsi="Times New Roman" w:cs="Times New Roman"/>
                <w:sz w:val="24"/>
                <w:szCs w:val="24"/>
              </w:rPr>
              <w:t>主要产生来源为一体化污水处理站排放的少量恶臭气体。恶臭气体通过</w:t>
            </w:r>
            <w:r>
              <w:rPr>
                <w:rFonts w:hint="eastAsia" w:ascii="Times New Roman" w:hAnsi="Times New Roman" w:cs="Times New Roman"/>
                <w:sz w:val="24"/>
                <w:szCs w:val="24"/>
                <w:lang w:eastAsia="zh-CN"/>
              </w:rPr>
              <w:t>投加除臭剂减少</w:t>
            </w:r>
            <w:r>
              <w:rPr>
                <w:rFonts w:hint="eastAsia" w:ascii="Times New Roman" w:hAnsi="Times New Roman" w:cs="Times New Roman"/>
                <w:sz w:val="24"/>
                <w:szCs w:val="24"/>
              </w:rPr>
              <w:t>无组织排放。</w:t>
            </w:r>
          </w:p>
          <w:p>
            <w:pPr>
              <w:pStyle w:val="37"/>
              <w:rPr>
                <w:rFonts w:hint="eastAsia" w:ascii="Times New Roman" w:hAnsi="Times New Roman" w:eastAsia="宋体" w:cs="Times New Roman"/>
                <w:sz w:val="24"/>
                <w:szCs w:val="24"/>
                <w:lang w:eastAsia="zh-CN"/>
              </w:rPr>
            </w:pPr>
            <w:r>
              <w:rPr>
                <w:rFonts w:hint="eastAsia" w:ascii="宋体" w:hAnsi="宋体" w:eastAsia="宋体" w:cs="宋体"/>
                <w:spacing w:val="7"/>
                <w:sz w:val="24"/>
                <w:szCs w:val="24"/>
                <w:lang w:eastAsia="zh-CN"/>
              </w:rPr>
              <w:t>煎药废气主要是中药煎熬过程中产生。煎药</w:t>
            </w:r>
            <w:r>
              <w:rPr>
                <w:rFonts w:ascii="宋体" w:hAnsi="宋体" w:eastAsia="宋体" w:cs="宋体"/>
                <w:spacing w:val="7"/>
                <w:sz w:val="24"/>
                <w:szCs w:val="24"/>
              </w:rPr>
              <w:t>使用密闭煎药机，煎煮过程</w:t>
            </w:r>
            <w:r>
              <w:rPr>
                <w:rFonts w:ascii="宋体" w:hAnsi="宋体" w:eastAsia="宋体" w:cs="宋体"/>
                <w:spacing w:val="-92"/>
                <w:sz w:val="24"/>
                <w:szCs w:val="24"/>
              </w:rPr>
              <w:t xml:space="preserve"> </w:t>
            </w:r>
            <w:r>
              <w:rPr>
                <w:rFonts w:ascii="宋体" w:hAnsi="宋体" w:eastAsia="宋体" w:cs="宋体"/>
                <w:spacing w:val="15"/>
                <w:sz w:val="24"/>
                <w:szCs w:val="24"/>
              </w:rPr>
              <w:t>产生的异味较少</w:t>
            </w:r>
            <w:r>
              <w:rPr>
                <w:rFonts w:hint="eastAsia" w:ascii="宋体" w:hAnsi="宋体" w:eastAsia="宋体" w:cs="宋体"/>
                <w:spacing w:val="15"/>
                <w:sz w:val="24"/>
                <w:szCs w:val="24"/>
                <w:lang w:eastAsia="zh-CN"/>
              </w:rPr>
              <w:t>。</w:t>
            </w:r>
          </w:p>
          <w:p>
            <w:pPr>
              <w:pStyle w:val="2"/>
              <w:spacing w:line="360" w:lineRule="auto"/>
              <w:jc w:val="left"/>
              <w:rPr>
                <w:sz w:val="28"/>
                <w:szCs w:val="28"/>
              </w:rPr>
            </w:pPr>
            <w:r>
              <w:rPr>
                <w:sz w:val="28"/>
                <w:szCs w:val="28"/>
              </w:rPr>
              <w:t>三、噪声污染源及其治理措施</w:t>
            </w:r>
          </w:p>
          <w:p>
            <w:pPr>
              <w:spacing w:line="360" w:lineRule="auto"/>
              <w:ind w:firstLine="602" w:firstLineChars="250"/>
              <w:rPr>
                <w:rFonts w:hint="eastAsia" w:ascii="Times New Roman" w:hAnsi="Times New Roman" w:cs="Times New Roman"/>
                <w:b/>
                <w:bCs/>
                <w:sz w:val="24"/>
                <w:szCs w:val="24"/>
                <w:lang w:eastAsia="zh-CN"/>
              </w:rPr>
            </w:pPr>
            <w:r>
              <w:rPr>
                <w:rFonts w:hint="eastAsia" w:ascii="Times New Roman" w:hAnsi="Times New Roman" w:cs="Times New Roman"/>
                <w:b/>
                <w:bCs/>
                <w:sz w:val="24"/>
                <w:szCs w:val="24"/>
                <w:lang w:eastAsia="zh-CN"/>
              </w:rPr>
              <w:t>污染源：</w:t>
            </w:r>
          </w:p>
          <w:p>
            <w:pPr>
              <w:spacing w:line="360" w:lineRule="auto"/>
              <w:ind w:firstLine="600" w:firstLineChars="250"/>
              <w:rPr>
                <w:rFonts w:hint="eastAsia" w:ascii="Times New Roman" w:hAnsi="Times New Roman" w:cs="Times New Roman"/>
                <w:sz w:val="24"/>
                <w:szCs w:val="24"/>
              </w:rPr>
            </w:pPr>
            <w:r>
              <w:rPr>
                <w:rFonts w:hint="eastAsia" w:ascii="Times New Roman" w:hAnsi="Times New Roman" w:cs="Times New Roman"/>
                <w:sz w:val="24"/>
                <w:szCs w:val="24"/>
              </w:rPr>
              <w:t>仪器设备、风机等设备运行时产生的噪声、以及社会噪声、交通噪声。</w:t>
            </w:r>
          </w:p>
          <w:p>
            <w:pPr>
              <w:pStyle w:val="37"/>
              <w:rPr>
                <w:rFonts w:hint="eastAsia" w:eastAsiaTheme="minorEastAsia"/>
                <w:b/>
                <w:bCs/>
                <w:lang w:eastAsia="zh-CN"/>
              </w:rPr>
            </w:pPr>
            <w:r>
              <w:rPr>
                <w:rFonts w:hint="eastAsia" w:ascii="Times New Roman" w:hAnsi="Times New Roman" w:cs="Times New Roman"/>
                <w:b/>
                <w:bCs/>
                <w:sz w:val="24"/>
                <w:szCs w:val="24"/>
                <w:lang w:eastAsia="zh-CN"/>
              </w:rPr>
              <w:t>治理措施：</w:t>
            </w:r>
          </w:p>
          <w:p>
            <w:pPr>
              <w:tabs>
                <w:tab w:val="left" w:pos="1680"/>
              </w:tabs>
              <w:spacing w:line="360" w:lineRule="auto"/>
              <w:ind w:firstLine="480" w:firstLineChars="200"/>
              <w:rPr>
                <w:rFonts w:hint="default" w:ascii="Times New Roman" w:hAnsi="Times New Roman" w:cs="Times New Roman"/>
                <w:sz w:val="24"/>
                <w:highlight w:val="none"/>
              </w:rPr>
            </w:pPr>
            <w:r>
              <w:rPr>
                <w:rFonts w:hint="eastAsia" w:ascii="Times New Roman" w:hAnsi="Times New Roman" w:cs="Times New Roman"/>
                <w:sz w:val="24"/>
                <w:szCs w:val="24"/>
              </w:rPr>
              <w:t>通过墙体隔声、距离衰减、加强管理等措施，减轻设备运转噪声对周围环境的影响。</w:t>
            </w:r>
            <w:r>
              <w:rPr>
                <w:rFonts w:hint="default" w:ascii="Times New Roman" w:hAnsi="Times New Roman" w:cs="Times New Roman"/>
                <w:sz w:val="24"/>
                <w:lang w:eastAsia="zh-CN"/>
              </w:rPr>
              <w:t>本</w:t>
            </w:r>
            <w:r>
              <w:rPr>
                <w:rFonts w:hint="default" w:ascii="Times New Roman" w:hAnsi="Times New Roman" w:cs="Times New Roman"/>
                <w:sz w:val="24"/>
              </w:rPr>
              <w:t>项目噪声处理及</w:t>
            </w:r>
            <w:r>
              <w:rPr>
                <w:rFonts w:hint="default" w:ascii="Times New Roman" w:hAnsi="Times New Roman" w:cs="Times New Roman"/>
                <w:sz w:val="24"/>
                <w:highlight w:val="none"/>
              </w:rPr>
              <w:t>排放方式见图3-</w:t>
            </w:r>
            <w:r>
              <w:rPr>
                <w:rFonts w:hint="eastAsia" w:ascii="Times New Roman" w:hAnsi="Times New Roman" w:cs="Times New Roman"/>
                <w:sz w:val="24"/>
                <w:highlight w:val="none"/>
                <w:lang w:val="en-US" w:eastAsia="zh-CN"/>
              </w:rPr>
              <w:t>3</w:t>
            </w:r>
            <w:r>
              <w:rPr>
                <w:rFonts w:hint="default" w:ascii="Times New Roman" w:hAnsi="Times New Roman" w:cs="Times New Roman"/>
                <w:sz w:val="24"/>
                <w:highlight w:val="none"/>
              </w:rPr>
              <w:t>，噪声具体监测点位见图</w:t>
            </w:r>
            <w:r>
              <w:rPr>
                <w:rFonts w:hint="eastAsia" w:ascii="Times New Roman" w:hAnsi="Times New Roman" w:cs="Times New Roman"/>
                <w:sz w:val="24"/>
                <w:highlight w:val="none"/>
                <w:lang w:val="en-US" w:eastAsia="zh-CN"/>
              </w:rPr>
              <w:t>6</w:t>
            </w:r>
            <w:r>
              <w:rPr>
                <w:rFonts w:hint="default" w:ascii="Times New Roman" w:hAnsi="Times New Roman" w:cs="Times New Roman"/>
                <w:sz w:val="24"/>
                <w:highlight w:val="none"/>
              </w:rPr>
              <w:t>-1。</w:t>
            </w:r>
          </w:p>
          <w:p>
            <w:pPr>
              <w:tabs>
                <w:tab w:val="left" w:pos="1680"/>
              </w:tabs>
              <w:spacing w:line="360" w:lineRule="auto"/>
              <w:jc w:val="center"/>
              <w:rPr>
                <w:rFonts w:hint="default" w:ascii="Times New Roman" w:hAnsi="Times New Roman" w:cs="Times New Roman"/>
                <w:b/>
                <w:color w:val="000000"/>
                <w:sz w:val="24"/>
                <w:highlight w:val="none"/>
              </w:rPr>
            </w:pPr>
            <w:r>
              <w:rPr>
                <w:rFonts w:hint="default" w:ascii="Times New Roman" w:hAnsi="Times New Roman" w:cs="Times New Roman"/>
                <w:sz w:val="24"/>
                <w:highlight w:val="none"/>
              </w:rPr>
              <w:object>
                <v:shape id="_x0000_i1025" o:spt="75" type="#_x0000_t75" style="height:42.6pt;width:432.85pt;" o:ole="t" filled="f" o:preferrelative="t" stroked="f" coordsize="21600,21600">
                  <v:path/>
                  <v:fill on="f" focussize="0,0"/>
                  <v:stroke on="f"/>
                  <v:imagedata r:id="rId19" o:title=""/>
                  <o:lock v:ext="edit" aspectratio="f"/>
                  <w10:wrap type="none"/>
                  <w10:anchorlock/>
                </v:shape>
                <o:OLEObject Type="Embed" ProgID="Visio.Drawing.11" ShapeID="_x0000_i1025" DrawAspect="Content" ObjectID="_1468075725" r:id="rId18">
                  <o:LockedField>false</o:LockedField>
                </o:OLEObject>
              </w:object>
            </w:r>
            <w:r>
              <w:rPr>
                <w:rFonts w:hint="default" w:ascii="Times New Roman" w:hAnsi="Times New Roman" w:cs="Times New Roman"/>
                <w:b/>
                <w:color w:val="000000"/>
                <w:sz w:val="24"/>
                <w:highlight w:val="none"/>
              </w:rPr>
              <w:t>图3-</w:t>
            </w:r>
            <w:r>
              <w:rPr>
                <w:rFonts w:hint="eastAsia" w:ascii="Times New Roman" w:hAnsi="Times New Roman" w:cs="Times New Roman"/>
                <w:b/>
                <w:color w:val="000000"/>
                <w:sz w:val="24"/>
                <w:highlight w:val="none"/>
                <w:lang w:val="en-US" w:eastAsia="zh-CN"/>
              </w:rPr>
              <w:t>3</w:t>
            </w:r>
            <w:r>
              <w:rPr>
                <w:rFonts w:hint="default" w:ascii="Times New Roman" w:hAnsi="Times New Roman" w:cs="Times New Roman"/>
                <w:b/>
                <w:color w:val="000000"/>
                <w:sz w:val="24"/>
                <w:highlight w:val="none"/>
                <w:lang w:val="en-US" w:eastAsia="zh-CN"/>
              </w:rPr>
              <w:t xml:space="preserve">  </w:t>
            </w:r>
            <w:r>
              <w:rPr>
                <w:rFonts w:hint="default" w:ascii="Times New Roman" w:hAnsi="Times New Roman" w:cs="Times New Roman"/>
                <w:b/>
                <w:color w:val="000000"/>
                <w:sz w:val="24"/>
                <w:highlight w:val="none"/>
              </w:rPr>
              <w:t>项目噪声处理和排放示意图</w:t>
            </w:r>
          </w:p>
          <w:p>
            <w:pPr>
              <w:spacing w:line="360" w:lineRule="auto"/>
              <w:rPr>
                <w:rFonts w:ascii="Times New Roman" w:hAnsi="Times New Roman" w:cs="Times New Roman"/>
                <w:sz w:val="28"/>
                <w:szCs w:val="28"/>
              </w:rPr>
            </w:pPr>
            <w:r>
              <w:rPr>
                <w:rFonts w:ascii="Times New Roman" w:hAnsi="Times New Roman" w:cs="Times New Roman"/>
                <w:sz w:val="28"/>
                <w:szCs w:val="28"/>
              </w:rPr>
              <w:t>四、固体废物污染源及其治理措施</w:t>
            </w:r>
          </w:p>
          <w:p>
            <w:pPr>
              <w:spacing w:line="360" w:lineRule="auto"/>
              <w:ind w:firstLine="480" w:firstLineChars="200"/>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固体废物包括一般固体废物、危险废物及生活垃圾。</w:t>
            </w:r>
          </w:p>
          <w:p>
            <w:pPr>
              <w:pStyle w:val="37"/>
              <w:rPr>
                <w:rFonts w:hint="eastAsia"/>
              </w:rPr>
            </w:pPr>
            <w:r>
              <w:rPr>
                <w:rFonts w:hint="eastAsia"/>
              </w:rPr>
              <w:t>生活垃圾主要为职工、门诊病人及住院病人产生的生活垃圾。</w:t>
            </w:r>
            <w:r>
              <w:t>生活垃圾总量为</w:t>
            </w:r>
            <w:r>
              <w:rPr>
                <w:rFonts w:ascii="Times New Roman" w:hAnsi="Times New Roman" w:eastAsia="Times New Roman" w:cs="Times New Roman"/>
              </w:rPr>
              <w:t>21.72t/a</w:t>
            </w:r>
            <w:r>
              <w:t>。</w:t>
            </w:r>
          </w:p>
          <w:p>
            <w:pPr>
              <w:pStyle w:val="37"/>
              <w:rPr>
                <w:rFonts w:hint="eastAsia"/>
              </w:rPr>
            </w:pPr>
            <w:r>
              <w:rPr>
                <w:rFonts w:hint="eastAsia"/>
                <w:lang w:eastAsia="zh-CN"/>
              </w:rPr>
              <w:t>一般固废</w:t>
            </w:r>
            <w:r>
              <w:rPr>
                <w:rFonts w:hint="eastAsia"/>
              </w:rPr>
              <w:t>包括</w:t>
            </w:r>
            <w:r>
              <w:rPr>
                <w:rFonts w:hint="eastAsia" w:ascii="Times New Roman" w:hAnsi="Times New Roman" w:cs="Times New Roman"/>
                <w:sz w:val="24"/>
                <w:szCs w:val="24"/>
              </w:rPr>
              <w:t>未被污染的包装材料、塑料（玻璃）输液瓶（袋）、药渣</w:t>
            </w:r>
            <w:r>
              <w:rPr>
                <w:rFonts w:hint="eastAsia"/>
              </w:rPr>
              <w:t>等，产生量约为1t/a，</w:t>
            </w:r>
            <w:r>
              <w:rPr>
                <w:rFonts w:hint="eastAsia"/>
                <w:lang w:eastAsia="zh-CN"/>
              </w:rPr>
              <w:t>药渣交由环卫部门清运，其他由</w:t>
            </w:r>
            <w:r>
              <w:rPr>
                <w:rFonts w:hint="eastAsia"/>
              </w:rPr>
              <w:t>外售</w:t>
            </w:r>
            <w:r>
              <w:rPr>
                <w:rFonts w:hint="eastAsia"/>
                <w:lang w:eastAsia="zh-CN"/>
              </w:rPr>
              <w:t>综合利用</w:t>
            </w:r>
            <w:r>
              <w:rPr>
                <w:rFonts w:hint="eastAsia"/>
              </w:rPr>
              <w:t>。</w:t>
            </w:r>
          </w:p>
          <w:p>
            <w:pPr>
              <w:pStyle w:val="37"/>
              <w:rPr>
                <w:rFonts w:hint="eastAsia" w:ascii="Times New Roman" w:hAnsi="Times New Roman" w:cs="Times New Roman"/>
                <w:sz w:val="24"/>
                <w:szCs w:val="24"/>
                <w:lang w:eastAsia="zh-CN"/>
              </w:rPr>
            </w:pPr>
            <w:r>
              <w:rPr>
                <w:rFonts w:hint="eastAsia" w:ascii="Times New Roman" w:hAnsi="Times New Roman" w:cs="Times New Roman"/>
                <w:sz w:val="24"/>
                <w:szCs w:val="24"/>
              </w:rPr>
              <w:t>危险废物主要包括医疗废物、废紫外灯管、化粪池污泥、污水处理栅渣及污泥。</w:t>
            </w:r>
            <w:r>
              <w:rPr>
                <w:rFonts w:hint="eastAsia" w:ascii="Times New Roman" w:hAnsi="Times New Roman" w:cs="Times New Roman"/>
                <w:color w:val="0000FF"/>
                <w:sz w:val="24"/>
                <w:szCs w:val="24"/>
                <w:lang w:eastAsia="zh-CN"/>
              </w:rPr>
              <w:t>根据《山东省医疗机构污染物排放控制标准》(DB37/596-2020)要求，</w:t>
            </w:r>
            <w:r>
              <w:rPr>
                <w:rFonts w:hint="eastAsia" w:ascii="Times New Roman" w:hAnsi="Times New Roman" w:cs="Times New Roman"/>
                <w:color w:val="0000FF"/>
                <w:sz w:val="24"/>
                <w:szCs w:val="24"/>
              </w:rPr>
              <w:t>栅渣、化粪池和污水处理站污泥应按危险废物处置，应当在贮泥池中消毒，污泥清掏前监测并达到</w:t>
            </w:r>
            <w:r>
              <w:rPr>
                <w:rFonts w:hint="eastAsia" w:ascii="Times New Roman" w:hAnsi="Times New Roman" w:cs="Times New Roman"/>
                <w:color w:val="0000FF"/>
                <w:sz w:val="24"/>
                <w:szCs w:val="24"/>
                <w:lang w:eastAsia="zh-CN"/>
              </w:rPr>
              <w:t>DB37/596-2020</w:t>
            </w:r>
            <w:r>
              <w:rPr>
                <w:rFonts w:hint="eastAsia" w:ascii="Times New Roman" w:hAnsi="Times New Roman" w:cs="Times New Roman"/>
                <w:color w:val="0000FF"/>
                <w:sz w:val="24"/>
                <w:szCs w:val="24"/>
              </w:rPr>
              <w:t>表3 要求</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危废产生</w:t>
            </w:r>
            <w:r>
              <w:rPr>
                <w:rFonts w:hint="eastAsia" w:ascii="Times New Roman" w:hAnsi="Times New Roman" w:cs="Times New Roman"/>
                <w:sz w:val="24"/>
                <w:szCs w:val="24"/>
                <w:highlight w:val="none"/>
                <w:lang w:eastAsia="zh-CN"/>
              </w:rPr>
              <w:t>情况见表</w:t>
            </w:r>
            <w:r>
              <w:rPr>
                <w:rFonts w:hint="eastAsia" w:ascii="Times New Roman" w:hAnsi="Times New Roman" w:cs="Times New Roman"/>
                <w:sz w:val="24"/>
                <w:szCs w:val="24"/>
                <w:highlight w:val="none"/>
                <w:lang w:val="en-US" w:eastAsia="zh-CN"/>
              </w:rPr>
              <w:t>3-1</w:t>
            </w:r>
            <w:r>
              <w:rPr>
                <w:rFonts w:hint="eastAsia" w:ascii="Times New Roman" w:hAnsi="Times New Roman" w:cs="Times New Roman"/>
                <w:sz w:val="24"/>
                <w:szCs w:val="24"/>
                <w:highlight w:val="none"/>
                <w:lang w:eastAsia="zh-CN"/>
              </w:rPr>
              <w:t>。</w:t>
            </w:r>
          </w:p>
          <w:p>
            <w:pPr>
              <w:pStyle w:val="10"/>
              <w:tabs>
                <w:tab w:val="left" w:pos="4395"/>
              </w:tabs>
              <w:spacing w:before="26" w:line="240" w:lineRule="auto"/>
              <w:ind w:right="106"/>
              <w:jc w:val="center"/>
              <w:rPr>
                <w:rFonts w:hint="default" w:ascii="Times New Roman" w:hAnsi="Times New Roman" w:cs="Times New Roman" w:eastAsiaTheme="minorEastAsia"/>
                <w:b/>
                <w:color w:val="000000"/>
                <w:kern w:val="2"/>
                <w:sz w:val="24"/>
                <w:szCs w:val="21"/>
                <w:highlight w:val="none"/>
                <w:lang w:val="en-US" w:eastAsia="zh-CN" w:bidi="ar-SA"/>
              </w:rPr>
            </w:pPr>
            <w:r>
              <w:rPr>
                <w:rFonts w:hint="eastAsia" w:ascii="Times New Roman" w:hAnsi="Times New Roman" w:cs="Times New Roman" w:eastAsiaTheme="minorEastAsia"/>
                <w:b/>
                <w:color w:val="000000"/>
                <w:kern w:val="2"/>
                <w:sz w:val="24"/>
                <w:szCs w:val="21"/>
                <w:highlight w:val="none"/>
                <w:lang w:val="en-US" w:eastAsia="zh-CN" w:bidi="ar-SA"/>
              </w:rPr>
              <w:t>表3-1</w:t>
            </w:r>
            <w:r>
              <w:rPr>
                <w:rFonts w:hint="default" w:ascii="Times New Roman" w:hAnsi="Times New Roman" w:cs="Times New Roman" w:eastAsiaTheme="minorEastAsia"/>
                <w:b/>
                <w:color w:val="000000"/>
                <w:kern w:val="2"/>
                <w:sz w:val="24"/>
                <w:szCs w:val="21"/>
                <w:highlight w:val="none"/>
                <w:lang w:val="en-US" w:eastAsia="zh-CN" w:bidi="ar-SA"/>
              </w:rPr>
              <w:t>危险废物产生情况一览表</w:t>
            </w:r>
          </w:p>
          <w:tbl>
            <w:tblPr>
              <w:tblStyle w:val="30"/>
              <w:tblW w:w="0" w:type="auto"/>
              <w:jc w:val="center"/>
              <w:tblLayout w:type="autofit"/>
              <w:tblCellMar>
                <w:top w:w="0" w:type="dxa"/>
                <w:left w:w="0" w:type="dxa"/>
                <w:bottom w:w="0" w:type="dxa"/>
                <w:right w:w="0" w:type="dxa"/>
              </w:tblCellMar>
            </w:tblPr>
            <w:tblGrid>
              <w:gridCol w:w="370"/>
              <w:gridCol w:w="1030"/>
              <w:gridCol w:w="581"/>
              <w:gridCol w:w="915"/>
              <w:gridCol w:w="792"/>
              <w:gridCol w:w="977"/>
              <w:gridCol w:w="1457"/>
              <w:gridCol w:w="723"/>
              <w:gridCol w:w="1091"/>
            </w:tblGrid>
            <w:tr>
              <w:trPr>
                <w:trHeight w:val="0" w:hRule="atLeast"/>
                <w:jc w:val="center"/>
              </w:trPr>
              <w:tc>
                <w:tcPr>
                  <w:tcW w:w="1400" w:type="dxa"/>
                  <w:gridSpan w:val="2"/>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名称</w:t>
                  </w:r>
                </w:p>
              </w:tc>
              <w:tc>
                <w:tcPr>
                  <w:tcW w:w="58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类别</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代码</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产生量</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危险特性</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有害成分</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形态</w:t>
                  </w:r>
                </w:p>
              </w:tc>
              <w:tc>
                <w:tcPr>
                  <w:tcW w:w="109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b/>
                      <w:bCs/>
                      <w:spacing w:val="0"/>
                      <w:w w:val="100"/>
                      <w:sz w:val="21"/>
                      <w:szCs w:val="21"/>
                    </w:rPr>
                  </w:pPr>
                  <w:r>
                    <w:rPr>
                      <w:rFonts w:ascii="宋体" w:hAnsi="宋体" w:eastAsia="宋体" w:cs="宋体"/>
                      <w:b/>
                      <w:bCs/>
                      <w:spacing w:val="0"/>
                      <w:w w:val="100"/>
                      <w:sz w:val="21"/>
                      <w:szCs w:val="21"/>
                    </w:rPr>
                    <w:t>处置方式</w:t>
                  </w:r>
                </w:p>
              </w:tc>
            </w:tr>
            <w:tr>
              <w:tblPrEx>
                <w:tblCellMar>
                  <w:top w:w="0" w:type="dxa"/>
                  <w:left w:w="0" w:type="dxa"/>
                  <w:bottom w:w="0" w:type="dxa"/>
                  <w:right w:w="0" w:type="dxa"/>
                </w:tblCellMar>
              </w:tblPrEx>
              <w:trPr>
                <w:trHeight w:val="0" w:hRule="atLeast"/>
                <w:jc w:val="center"/>
              </w:trPr>
              <w:tc>
                <w:tcPr>
                  <w:tcW w:w="370" w:type="dxa"/>
                  <w:vMerge w:val="restart"/>
                  <w:tcBorders>
                    <w:top w:val="single" w:color="000000" w:sz="4" w:space="0"/>
                    <w:left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黑体" w:hAnsi="黑体" w:eastAsia="黑体" w:cs="黑体"/>
                      <w:spacing w:val="0"/>
                      <w:w w:val="100"/>
                      <w:sz w:val="20"/>
                      <w:szCs w:val="20"/>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医疗废物</w:t>
                  </w:r>
                </w:p>
              </w:tc>
              <w:tc>
                <w:tcPr>
                  <w:tcW w:w="1030"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感染性废</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物</w:t>
                  </w:r>
                </w:p>
              </w:tc>
              <w:tc>
                <w:tcPr>
                  <w:tcW w:w="581" w:type="dxa"/>
                  <w:vMerge w:val="restart"/>
                  <w:tcBorders>
                    <w:top w:val="single" w:color="000000" w:sz="4" w:space="0"/>
                    <w:left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黑体" w:hAnsi="黑体" w:eastAsia="黑体" w:cs="黑体"/>
                      <w:spacing w:val="0"/>
                      <w:w w:val="100"/>
                      <w:sz w:val="20"/>
                      <w:szCs w:val="20"/>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HW01</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841-001-</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01</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1t/a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In</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体液、病原</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体</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液态</w:t>
                  </w:r>
                </w:p>
              </w:tc>
              <w:tc>
                <w:tcPr>
                  <w:tcW w:w="1091" w:type="dxa"/>
                  <w:vMerge w:val="restart"/>
                  <w:tcBorders>
                    <w:top w:val="single" w:color="000000" w:sz="4" w:space="0"/>
                    <w:left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黑体" w:hAnsi="黑体" w:eastAsia="黑体" w:cs="黑体"/>
                      <w:spacing w:val="0"/>
                      <w:w w:val="100"/>
                      <w:sz w:val="20"/>
                      <w:szCs w:val="20"/>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黑体" w:hAnsi="黑体" w:eastAsia="黑体" w:cs="黑体"/>
                      <w:spacing w:val="0"/>
                      <w:w w:val="100"/>
                      <w:sz w:val="20"/>
                      <w:szCs w:val="20"/>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暂存于危废间，定期委托有</w:t>
                  </w:r>
                  <w:r>
                    <w:rPr>
                      <w:rFonts w:hint="eastAsia" w:ascii="宋体" w:hAnsi="宋体" w:cs="宋体"/>
                      <w:spacing w:val="0"/>
                      <w:w w:val="100"/>
                      <w:sz w:val="21"/>
                      <w:szCs w:val="21"/>
                      <w:lang w:eastAsia="zh-CN"/>
                    </w:rPr>
                    <w:t>济南腾笙环保科技有限公司</w:t>
                  </w:r>
                  <w:r>
                    <w:rPr>
                      <w:rFonts w:ascii="宋体" w:hAnsi="宋体" w:eastAsia="宋体" w:cs="宋体"/>
                      <w:spacing w:val="0"/>
                      <w:w w:val="100"/>
                      <w:sz w:val="21"/>
                      <w:szCs w:val="21"/>
                    </w:rPr>
                    <w:t>清运</w:t>
                  </w:r>
                </w:p>
              </w:tc>
            </w:tr>
            <w:tr>
              <w:trPr>
                <w:trHeight w:val="0" w:hRule="atLeast"/>
                <w:jc w:val="center"/>
              </w:trPr>
              <w:tc>
                <w:tcPr>
                  <w:tcW w:w="370"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1030"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损伤性废</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物</w:t>
                  </w:r>
                </w:p>
              </w:tc>
              <w:tc>
                <w:tcPr>
                  <w:tcW w:w="58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841-002-</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01</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2t/a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In</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针头、锐</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器、病原体</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tc>
              <w:tc>
                <w:tcPr>
                  <w:tcW w:w="109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r>
            <w:tr>
              <w:trPr>
                <w:trHeight w:val="0" w:hRule="atLeast"/>
                <w:jc w:val="center"/>
              </w:trPr>
              <w:tc>
                <w:tcPr>
                  <w:tcW w:w="370"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1030"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病理性废</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物</w:t>
                  </w:r>
                </w:p>
              </w:tc>
              <w:tc>
                <w:tcPr>
                  <w:tcW w:w="58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841-003-</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01</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0.05t/a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In</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手术废弃</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组织</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tc>
              <w:tc>
                <w:tcPr>
                  <w:tcW w:w="109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r>
            <w:tr>
              <w:trPr>
                <w:trHeight w:val="0" w:hRule="atLeast"/>
                <w:jc w:val="center"/>
              </w:trPr>
              <w:tc>
                <w:tcPr>
                  <w:tcW w:w="370"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1030"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化学性废</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物</w:t>
                  </w:r>
                </w:p>
              </w:tc>
              <w:tc>
                <w:tcPr>
                  <w:tcW w:w="58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841-004-</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01</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0.5t/a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T/C/I/R</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化学物品</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液态</w:t>
                  </w:r>
                </w:p>
              </w:tc>
              <w:tc>
                <w:tcPr>
                  <w:tcW w:w="1091"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r>
            <w:tr>
              <w:trPr>
                <w:trHeight w:val="0" w:hRule="atLeast"/>
                <w:jc w:val="center"/>
              </w:trPr>
              <w:tc>
                <w:tcPr>
                  <w:tcW w:w="370"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1030"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药物性废</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物</w:t>
                  </w:r>
                </w:p>
              </w:tc>
              <w:tc>
                <w:tcPr>
                  <w:tcW w:w="581"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841-005-</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01</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0.1t/a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T</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药品</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液态</w:t>
                  </w:r>
                </w:p>
              </w:tc>
              <w:tc>
                <w:tcPr>
                  <w:tcW w:w="1091"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rPr>
                  </w:pPr>
                </w:p>
              </w:tc>
            </w:tr>
            <w:tr>
              <w:trPr>
                <w:trHeight w:val="0" w:hRule="atLeast"/>
                <w:jc w:val="center"/>
              </w:trPr>
              <w:tc>
                <w:tcPr>
                  <w:tcW w:w="1400" w:type="dxa"/>
                  <w:gridSpan w:val="2"/>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化粪池污泥</w:t>
                  </w:r>
                </w:p>
              </w:tc>
              <w:tc>
                <w:tcPr>
                  <w:tcW w:w="58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HW49</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772-006-</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49</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0.5t/a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In</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病菌</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tc>
              <w:tc>
                <w:tcPr>
                  <w:tcW w:w="109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定期委托</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hint="eastAsia" w:ascii="宋体" w:hAnsi="宋体" w:cs="宋体"/>
                      <w:spacing w:val="0"/>
                      <w:w w:val="100"/>
                      <w:sz w:val="21"/>
                      <w:szCs w:val="21"/>
                      <w:lang w:eastAsia="zh-CN"/>
                    </w:rPr>
                    <w:t>山东中再生环境科技有限公司</w:t>
                  </w:r>
                  <w:r>
                    <w:rPr>
                      <w:rFonts w:ascii="宋体" w:hAnsi="宋体" w:eastAsia="宋体" w:cs="宋体"/>
                      <w:spacing w:val="0"/>
                      <w:w w:val="100"/>
                      <w:sz w:val="21"/>
                      <w:szCs w:val="21"/>
                    </w:rPr>
                    <w:t>清运</w:t>
                  </w:r>
                </w:p>
              </w:tc>
            </w:tr>
            <w:tr>
              <w:trPr>
                <w:trHeight w:val="0" w:hRule="atLeast"/>
                <w:jc w:val="center"/>
              </w:trPr>
              <w:tc>
                <w:tcPr>
                  <w:tcW w:w="1400" w:type="dxa"/>
                  <w:gridSpan w:val="2"/>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污水处理污泥</w:t>
                  </w:r>
                </w:p>
              </w:tc>
              <w:tc>
                <w:tcPr>
                  <w:tcW w:w="58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HW49</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772-006-</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49</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0.28t/a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In</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病菌</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黑体" w:hAnsi="黑体" w:eastAsia="黑体" w:cs="黑体"/>
                      <w:spacing w:val="0"/>
                      <w:w w:val="100"/>
                      <w:sz w:val="18"/>
                      <w:szCs w:val="18"/>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tc>
              <w:tc>
                <w:tcPr>
                  <w:tcW w:w="109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定期委托</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hint="eastAsia" w:ascii="宋体" w:hAnsi="宋体" w:cs="宋体"/>
                      <w:spacing w:val="0"/>
                      <w:w w:val="100"/>
                      <w:sz w:val="21"/>
                      <w:szCs w:val="21"/>
                      <w:lang w:eastAsia="zh-CN"/>
                    </w:rPr>
                    <w:t>山东中再生环境科技有限公司</w:t>
                  </w:r>
                  <w:r>
                    <w:rPr>
                      <w:rFonts w:ascii="宋体" w:hAnsi="宋体" w:eastAsia="宋体" w:cs="宋体"/>
                      <w:spacing w:val="0"/>
                      <w:w w:val="100"/>
                      <w:sz w:val="21"/>
                      <w:szCs w:val="21"/>
                    </w:rPr>
                    <w:t>清运</w:t>
                  </w:r>
                </w:p>
              </w:tc>
            </w:tr>
            <w:tr>
              <w:trPr>
                <w:trHeight w:val="0" w:hRule="atLeast"/>
                <w:jc w:val="center"/>
              </w:trPr>
              <w:tc>
                <w:tcPr>
                  <w:tcW w:w="1400" w:type="dxa"/>
                  <w:gridSpan w:val="2"/>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栅渣</w:t>
                  </w:r>
                </w:p>
              </w:tc>
              <w:tc>
                <w:tcPr>
                  <w:tcW w:w="58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HW49</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772-006-</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49</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0.003t/a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rPr>
                  </w:pPr>
                  <w:r>
                    <w:rPr>
                      <w:rFonts w:ascii="Times New Roman"/>
                      <w:spacing w:val="0"/>
                      <w:w w:val="100"/>
                      <w:sz w:val="21"/>
                    </w:rPr>
                    <w:t>T/In</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病菌</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固态</w:t>
                  </w:r>
                </w:p>
              </w:tc>
              <w:tc>
                <w:tcPr>
                  <w:tcW w:w="1091" w:type="dxa"/>
                  <w:vMerge w:val="restart"/>
                  <w:tcBorders>
                    <w:top w:val="single" w:color="000000" w:sz="4" w:space="0"/>
                    <w:left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暂存于危</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rPr>
                  </w:pPr>
                  <w:r>
                    <w:rPr>
                      <w:rFonts w:ascii="宋体" w:hAnsi="宋体" w:eastAsia="宋体" w:cs="宋体"/>
                      <w:spacing w:val="0"/>
                      <w:w w:val="100"/>
                      <w:sz w:val="21"/>
                      <w:szCs w:val="21"/>
                    </w:rPr>
                    <w:t>废间，委托</w:t>
                  </w:r>
                  <w:r>
                    <w:rPr>
                      <w:rFonts w:hint="eastAsia" w:ascii="宋体" w:hAnsi="宋体" w:cs="宋体"/>
                      <w:spacing w:val="0"/>
                      <w:w w:val="100"/>
                      <w:sz w:val="21"/>
                      <w:szCs w:val="21"/>
                      <w:lang w:eastAsia="zh-CN"/>
                    </w:rPr>
                    <w:t>山东中再生环境科技有限公司</w:t>
                  </w:r>
                  <w:r>
                    <w:rPr>
                      <w:rFonts w:ascii="宋体" w:hAnsi="宋体" w:eastAsia="宋体" w:cs="宋体"/>
                      <w:spacing w:val="0"/>
                      <w:w w:val="100"/>
                      <w:sz w:val="21"/>
                      <w:szCs w:val="21"/>
                    </w:rPr>
                    <w:t>清运</w:t>
                  </w:r>
                </w:p>
              </w:tc>
            </w:tr>
            <w:tr>
              <w:trPr>
                <w:trHeight w:val="0" w:hRule="atLeast"/>
                <w:jc w:val="center"/>
              </w:trPr>
              <w:tc>
                <w:tcPr>
                  <w:tcW w:w="1400" w:type="dxa"/>
                  <w:gridSpan w:val="2"/>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highlight w:val="none"/>
                    </w:rPr>
                  </w:pPr>
                  <w:r>
                    <w:rPr>
                      <w:rFonts w:ascii="宋体" w:hAnsi="宋体" w:eastAsia="宋体" w:cs="宋体"/>
                      <w:spacing w:val="0"/>
                      <w:w w:val="100"/>
                      <w:sz w:val="21"/>
                      <w:szCs w:val="21"/>
                      <w:highlight w:val="none"/>
                    </w:rPr>
                    <w:t>废紫外灯管</w:t>
                  </w:r>
                </w:p>
              </w:tc>
              <w:tc>
                <w:tcPr>
                  <w:tcW w:w="581"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highlight w:val="none"/>
                    </w:rPr>
                  </w:pPr>
                  <w:r>
                    <w:rPr>
                      <w:rFonts w:ascii="Times New Roman"/>
                      <w:spacing w:val="0"/>
                      <w:w w:val="100"/>
                      <w:sz w:val="21"/>
                      <w:highlight w:val="none"/>
                    </w:rPr>
                    <w:t>HW29</w:t>
                  </w:r>
                </w:p>
              </w:tc>
              <w:tc>
                <w:tcPr>
                  <w:tcW w:w="915"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highlight w:val="none"/>
                    </w:rPr>
                  </w:pPr>
                  <w:r>
                    <w:rPr>
                      <w:rFonts w:ascii="Times New Roman"/>
                      <w:spacing w:val="0"/>
                      <w:w w:val="100"/>
                      <w:sz w:val="21"/>
                      <w:highlight w:val="none"/>
                    </w:rPr>
                    <w:t>900-023-</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highlight w:val="none"/>
                    </w:rPr>
                  </w:pPr>
                  <w:r>
                    <w:rPr>
                      <w:rFonts w:ascii="Times New Roman"/>
                      <w:spacing w:val="0"/>
                      <w:w w:val="100"/>
                      <w:sz w:val="21"/>
                      <w:highlight w:val="none"/>
                    </w:rPr>
                    <w:t>29</w:t>
                  </w:r>
                </w:p>
              </w:tc>
              <w:tc>
                <w:tcPr>
                  <w:tcW w:w="79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Times New Roman" w:hAnsi="Times New Roman" w:eastAsia="Times New Roman" w:cs="Times New Roman"/>
                      <w:spacing w:val="0"/>
                      <w:w w:val="100"/>
                      <w:sz w:val="21"/>
                      <w:szCs w:val="21"/>
                      <w:highlight w:val="none"/>
                    </w:rPr>
                  </w:pPr>
                  <w:r>
                    <w:rPr>
                      <w:rFonts w:ascii="Times New Roman"/>
                      <w:spacing w:val="0"/>
                      <w:w w:val="100"/>
                      <w:sz w:val="21"/>
                      <w:highlight w:val="none"/>
                    </w:rPr>
                    <w:t>0.02t/a</w:t>
                  </w:r>
                </w:p>
              </w:tc>
              <w:tc>
                <w:tcPr>
                  <w:tcW w:w="97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4"/>
                      <w:szCs w:val="24"/>
                      <w:highlight w:val="none"/>
                    </w:rPr>
                  </w:pPr>
                  <w:r>
                    <w:rPr>
                      <w:rFonts w:ascii="宋体"/>
                      <w:spacing w:val="0"/>
                      <w:w w:val="100"/>
                      <w:sz w:val="24"/>
                      <w:highlight w:val="none"/>
                    </w:rPr>
                    <w:t>T</w:t>
                  </w:r>
                </w:p>
              </w:tc>
              <w:tc>
                <w:tcPr>
                  <w:tcW w:w="1457"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highlight w:val="none"/>
                    </w:rPr>
                  </w:pPr>
                  <w:r>
                    <w:rPr>
                      <w:rFonts w:ascii="宋体" w:hAnsi="宋体" w:eastAsia="宋体" w:cs="宋体"/>
                      <w:spacing w:val="0"/>
                      <w:w w:val="100"/>
                      <w:sz w:val="21"/>
                      <w:szCs w:val="21"/>
                      <w:highlight w:val="none"/>
                    </w:rPr>
                    <w:t>汞</w:t>
                  </w:r>
                </w:p>
              </w:tc>
              <w:tc>
                <w:tcPr>
                  <w:tcW w:w="72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jc w:val="center"/>
                    <w:textAlignment w:val="auto"/>
                    <w:rPr>
                      <w:rFonts w:ascii="宋体" w:hAnsi="宋体" w:eastAsia="宋体" w:cs="宋体"/>
                      <w:spacing w:val="0"/>
                      <w:w w:val="100"/>
                      <w:sz w:val="21"/>
                      <w:szCs w:val="21"/>
                      <w:highlight w:val="none"/>
                    </w:rPr>
                  </w:pPr>
                  <w:r>
                    <w:rPr>
                      <w:rFonts w:ascii="宋体" w:hAnsi="宋体" w:eastAsia="宋体" w:cs="宋体"/>
                      <w:spacing w:val="0"/>
                      <w:w w:val="100"/>
                      <w:sz w:val="21"/>
                      <w:szCs w:val="21"/>
                      <w:highlight w:val="none"/>
                    </w:rPr>
                    <w:t>固态</w:t>
                  </w:r>
                </w:p>
              </w:tc>
              <w:tc>
                <w:tcPr>
                  <w:tcW w:w="1091"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line="240" w:lineRule="auto"/>
                    <w:ind w:left="0" w:right="0" w:firstLine="0"/>
                    <w:jc w:val="center"/>
                    <w:textAlignment w:val="auto"/>
                    <w:rPr>
                      <w:spacing w:val="0"/>
                      <w:w w:val="100"/>
                      <w:highlight w:val="none"/>
                    </w:rPr>
                  </w:pPr>
                </w:p>
              </w:tc>
            </w:tr>
          </w:tbl>
          <w:p>
            <w:pPr>
              <w:pStyle w:val="37"/>
              <w:rPr>
                <w:rFonts w:hint="default" w:ascii="Times New Roman" w:hAnsi="Times New Roman" w:cs="Times New Roman"/>
                <w:sz w:val="24"/>
                <w:szCs w:val="24"/>
                <w:highlight w:val="none"/>
                <w:lang w:eastAsia="zh-CN"/>
              </w:rPr>
            </w:pPr>
          </w:p>
          <w:p>
            <w:pPr>
              <w:pStyle w:val="37"/>
              <w:rPr>
                <w:rFonts w:hint="default" w:ascii="Times New Roman" w:hAnsi="Times New Roman" w:eastAsia="宋体" w:cs="Times New Roman"/>
                <w:sz w:val="24"/>
                <w:szCs w:val="24"/>
              </w:rPr>
            </w:pPr>
            <w:r>
              <w:rPr>
                <w:rFonts w:hint="default" w:ascii="Times New Roman" w:hAnsi="Times New Roman" w:cs="Times New Roman"/>
                <w:sz w:val="24"/>
                <w:szCs w:val="24"/>
                <w:highlight w:val="none"/>
                <w:lang w:eastAsia="zh-CN"/>
              </w:rPr>
              <w:t>建设单位</w:t>
            </w:r>
            <w:r>
              <w:rPr>
                <w:rFonts w:hint="default" w:ascii="Times New Roman" w:hAnsi="Times New Roman" w:eastAsia="宋体" w:cs="Times New Roman"/>
                <w:sz w:val="24"/>
                <w:szCs w:val="24"/>
                <w:highlight w:val="none"/>
              </w:rPr>
              <w:t>在一层</w:t>
            </w:r>
            <w:r>
              <w:rPr>
                <w:rFonts w:hint="default" w:ascii="Times New Roman" w:hAnsi="Times New Roman" w:eastAsia="宋体" w:cs="Times New Roman"/>
                <w:sz w:val="24"/>
                <w:szCs w:val="24"/>
                <w:highlight w:val="none"/>
                <w:lang w:eastAsia="zh-CN"/>
              </w:rPr>
              <w:t>东</w:t>
            </w:r>
            <w:r>
              <w:rPr>
                <w:rFonts w:hint="default" w:ascii="Times New Roman" w:hAnsi="Times New Roman" w:eastAsia="宋体" w:cs="Times New Roman"/>
                <w:sz w:val="24"/>
                <w:szCs w:val="24"/>
                <w:highlight w:val="none"/>
              </w:rPr>
              <w:t>侧设置1</w:t>
            </w:r>
            <w:r>
              <w:rPr>
                <w:rFonts w:hint="default" w:ascii="Times New Roman" w:hAnsi="Times New Roman" w:eastAsia="宋体" w:cs="Times New Roman"/>
                <w:spacing w:val="-6"/>
                <w:sz w:val="24"/>
                <w:szCs w:val="24"/>
                <w:highlight w:val="none"/>
              </w:rPr>
              <w:t>个危废间，建筑面积</w:t>
            </w:r>
            <w:r>
              <w:rPr>
                <w:rFonts w:hint="eastAsia" w:ascii="Times New Roman" w:hAnsi="Times New Roman" w:eastAsia="宋体" w:cs="Times New Roman"/>
                <w:spacing w:val="0"/>
                <w:sz w:val="24"/>
                <w:szCs w:val="24"/>
                <w:highlight w:val="none"/>
                <w:lang w:eastAsia="zh-CN"/>
              </w:rPr>
              <w:t>11m</w:t>
            </w:r>
            <w:r>
              <w:rPr>
                <w:rFonts w:hint="eastAsia" w:ascii="Times New Roman" w:hAnsi="Times New Roman" w:eastAsia="宋体" w:cs="Times New Roman"/>
                <w:spacing w:val="0"/>
                <w:sz w:val="24"/>
                <w:szCs w:val="24"/>
                <w:highlight w:val="none"/>
                <w:vertAlign w:val="superscript"/>
                <w:lang w:val="en-US" w:eastAsia="zh-CN"/>
              </w:rPr>
              <w:t>2</w:t>
            </w:r>
            <w:r>
              <w:rPr>
                <w:rFonts w:hint="default" w:ascii="Times New Roman" w:hAnsi="Times New Roman" w:eastAsia="宋体" w:cs="Times New Roman"/>
                <w:spacing w:val="-5"/>
                <w:sz w:val="24"/>
                <w:szCs w:val="24"/>
                <w:highlight w:val="none"/>
              </w:rPr>
              <w:t>，暂存</w:t>
            </w:r>
            <w:r>
              <w:rPr>
                <w:rFonts w:hint="default" w:ascii="Times New Roman" w:hAnsi="Times New Roman" w:eastAsia="宋体" w:cs="Times New Roman"/>
                <w:spacing w:val="-5"/>
                <w:sz w:val="24"/>
                <w:szCs w:val="24"/>
              </w:rPr>
              <w:t>危险废</w:t>
            </w:r>
            <w:r>
              <w:rPr>
                <w:rFonts w:hint="default" w:ascii="Times New Roman" w:hAnsi="Times New Roman" w:eastAsia="宋体" w:cs="Times New Roman"/>
                <w:sz w:val="24"/>
                <w:szCs w:val="24"/>
              </w:rPr>
              <w:t>物；污泥不在院区内暂存，委托有资质单位直接外运处置，一年清运一次。严格按照《危险废物贮存污染控制标准》（GB18597-2001）及其修改单进行管理，建立有关危险废物管理台账，落实五联单制度。</w:t>
            </w:r>
          </w:p>
          <w:p>
            <w:pPr>
              <w:pStyle w:val="37"/>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危险废物暂存间严格按照《危险废物贮存污染控制标准》（GB18597-2001）及修改单、《医疗废物管理条例》（国务院令第588号）和《山东省医疗机构污染物排放控制标准》（DB37/596-2020）4.5“医疗废物控制要求”的要求设计</w:t>
            </w:r>
            <w:r>
              <w:rPr>
                <w:rFonts w:hint="default" w:ascii="Times New Roman" w:hAnsi="Times New Roman" w:eastAsia="宋体" w:cs="Times New Roman"/>
                <w:sz w:val="24"/>
                <w:szCs w:val="24"/>
                <w:lang w:eastAsia="zh-CN"/>
              </w:rPr>
              <w:t>建设。</w:t>
            </w:r>
          </w:p>
          <w:p>
            <w:pPr>
              <w:pStyle w:val="10"/>
              <w:tabs>
                <w:tab w:val="left" w:pos="4395"/>
              </w:tabs>
              <w:spacing w:before="26" w:line="240" w:lineRule="auto"/>
              <w:ind w:right="106"/>
              <w:jc w:val="center"/>
              <w:rPr>
                <w:rFonts w:hint="eastAsia" w:ascii="Times New Roman" w:hAnsi="Times New Roman" w:cs="Times New Roman" w:eastAsiaTheme="minorEastAsia"/>
                <w:b/>
                <w:color w:val="000000"/>
                <w:kern w:val="2"/>
                <w:sz w:val="24"/>
                <w:szCs w:val="21"/>
                <w:highlight w:val="none"/>
                <w:lang w:val="en-US" w:eastAsia="zh-CN" w:bidi="ar-SA"/>
              </w:rPr>
            </w:pPr>
            <w:r>
              <w:rPr>
                <w:rFonts w:hint="eastAsia" w:ascii="Times New Roman" w:hAnsi="Times New Roman" w:cs="Times New Roman" w:eastAsiaTheme="minorEastAsia"/>
                <w:b/>
                <w:color w:val="000000"/>
                <w:kern w:val="2"/>
                <w:sz w:val="24"/>
                <w:szCs w:val="21"/>
                <w:highlight w:val="none"/>
                <w:lang w:val="en-US" w:eastAsia="zh-CN" w:bidi="ar-SA"/>
              </w:rPr>
              <w:t>表3-2  危险废物暂存间建设情况表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8"/>
              <w:gridCol w:w="544"/>
              <w:gridCol w:w="674"/>
              <w:gridCol w:w="1438"/>
              <w:gridCol w:w="541"/>
              <w:gridCol w:w="1133"/>
              <w:gridCol w:w="1264"/>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exact"/>
                <w:jc w:val="center"/>
              </w:trPr>
              <w:tc>
                <w:tcPr>
                  <w:tcW w:w="1078"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贮存场所</w:t>
                  </w:r>
                </w:p>
              </w:tc>
              <w:tc>
                <w:tcPr>
                  <w:tcW w:w="544"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名称</w:t>
                  </w:r>
                </w:p>
              </w:tc>
              <w:tc>
                <w:tcPr>
                  <w:tcW w:w="674"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类别</w:t>
                  </w:r>
                </w:p>
              </w:tc>
              <w:tc>
                <w:tcPr>
                  <w:tcW w:w="1438"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代码</w:t>
                  </w:r>
                </w:p>
              </w:tc>
              <w:tc>
                <w:tcPr>
                  <w:tcW w:w="541"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位置</w:t>
                  </w:r>
                </w:p>
              </w:tc>
              <w:tc>
                <w:tcPr>
                  <w:tcW w:w="1133"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占地面积</w:t>
                  </w:r>
                </w:p>
              </w:tc>
              <w:tc>
                <w:tcPr>
                  <w:tcW w:w="1264"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贮存方式</w:t>
                  </w:r>
                </w:p>
              </w:tc>
              <w:tc>
                <w:tcPr>
                  <w:tcW w:w="1264"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贮存能力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1078" w:type="dxa"/>
                  <w:vMerge w:val="restart"/>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危险废物暂存间</w:t>
                  </w:r>
                </w:p>
              </w:tc>
              <w:tc>
                <w:tcPr>
                  <w:tcW w:w="544" w:type="dxa"/>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医疗废物</w:t>
                  </w:r>
                </w:p>
              </w:tc>
              <w:tc>
                <w:tcPr>
                  <w:tcW w:w="674" w:type="dxa"/>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HW01</w:t>
                  </w:r>
                </w:p>
              </w:tc>
              <w:tc>
                <w:tcPr>
                  <w:tcW w:w="1438" w:type="dxa"/>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841-001-01</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841-002-01</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841-003-01</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841-004-01</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841-005-01</w:t>
                  </w:r>
                </w:p>
              </w:tc>
              <w:tc>
                <w:tcPr>
                  <w:tcW w:w="541" w:type="dxa"/>
                  <w:vMerge w:val="restart"/>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一层外墙东侧</w:t>
                  </w:r>
                </w:p>
              </w:tc>
              <w:tc>
                <w:tcPr>
                  <w:tcW w:w="1133" w:type="dxa"/>
                  <w:vMerge w:val="restart"/>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10"/>
                      <w:szCs w:val="10"/>
                    </w:rPr>
                  </w:pPr>
                  <w:r>
                    <w:rPr>
                      <w:rFonts w:hint="eastAsia" w:ascii="Times New Roman" w:hAnsi="Times New Roman" w:cs="Times New Roman"/>
                      <w:spacing w:val="0"/>
                      <w:w w:val="100"/>
                      <w:position w:val="0"/>
                      <w:sz w:val="21"/>
                      <w:szCs w:val="21"/>
                      <w:highlight w:val="none"/>
                      <w:lang w:val="en-US" w:eastAsia="zh-CN"/>
                    </w:rPr>
                    <w:t>11</w:t>
                  </w:r>
                  <w:r>
                    <w:rPr>
                      <w:rFonts w:hint="default" w:ascii="Times New Roman" w:hAnsi="Times New Roman" w:cs="Times New Roman"/>
                      <w:spacing w:val="0"/>
                      <w:w w:val="100"/>
                      <w:position w:val="0"/>
                      <w:sz w:val="21"/>
                      <w:szCs w:val="21"/>
                      <w:highlight w:val="none"/>
                    </w:rPr>
                    <w:t>m</w:t>
                  </w:r>
                  <w:r>
                    <w:rPr>
                      <w:rFonts w:hint="default" w:ascii="Times New Roman" w:hAnsi="Times New Roman" w:cs="Times New Roman"/>
                      <w:spacing w:val="0"/>
                      <w:w w:val="100"/>
                      <w:position w:val="0"/>
                      <w:sz w:val="21"/>
                      <w:szCs w:val="21"/>
                      <w:highlight w:val="none"/>
                      <w:vertAlign w:val="superscript"/>
                    </w:rPr>
                    <w:t>2</w:t>
                  </w:r>
                </w:p>
              </w:tc>
              <w:tc>
                <w:tcPr>
                  <w:tcW w:w="1264" w:type="dxa"/>
                  <w:vMerge w:val="restart"/>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专用容器</w:t>
                  </w:r>
                </w:p>
              </w:tc>
              <w:tc>
                <w:tcPr>
                  <w:tcW w:w="1264" w:type="dxa"/>
                  <w:vMerge w:val="restart"/>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1"/>
                      <w:szCs w:val="21"/>
                    </w:rPr>
                  </w:pPr>
                  <w:r>
                    <w:rPr>
                      <w:rFonts w:ascii="Times New Roman"/>
                      <w:sz w:val="21"/>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jc w:val="center"/>
              </w:trPr>
              <w:tc>
                <w:tcPr>
                  <w:tcW w:w="1078" w:type="dxa"/>
                  <w:vMerge w:val="continue"/>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pPr>
                </w:p>
              </w:tc>
              <w:tc>
                <w:tcPr>
                  <w:tcW w:w="544" w:type="dxa"/>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r>
                    <w:rPr>
                      <w:rFonts w:ascii="宋体" w:hAnsi="宋体" w:eastAsia="宋体" w:cs="宋体"/>
                      <w:sz w:val="21"/>
                      <w:szCs w:val="21"/>
                    </w:rPr>
                    <w:t>废紫</w:t>
                  </w: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ascii="宋体" w:hAnsi="宋体" w:eastAsia="宋体" w:cs="宋体"/>
                      <w:kern w:val="2"/>
                      <w:sz w:val="21"/>
                      <w:szCs w:val="21"/>
                      <w:lang w:val="en-US" w:eastAsia="zh-CN" w:bidi="ar-SA"/>
                    </w:rPr>
                  </w:pPr>
                  <w:r>
                    <w:rPr>
                      <w:rFonts w:ascii="宋体" w:hAnsi="宋体" w:eastAsia="宋体" w:cs="宋体"/>
                      <w:sz w:val="21"/>
                      <w:szCs w:val="21"/>
                    </w:rPr>
                    <w:t>外灯管</w:t>
                  </w:r>
                </w:p>
              </w:tc>
              <w:tc>
                <w:tcPr>
                  <w:tcW w:w="674" w:type="dxa"/>
                  <w:vAlign w:val="top"/>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Times New Roman" w:hAnsi="Times New Roman" w:eastAsia="Times New Roman" w:cs="Times New Roman"/>
                      <w:sz w:val="25"/>
                      <w:szCs w:val="25"/>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left"/>
                    <w:textAlignment w:val="auto"/>
                    <w:rPr>
                      <w:rFonts w:ascii="Times New Roman" w:hAnsi="Times New Roman" w:eastAsia="Times New Roman" w:cs="Times New Roman"/>
                      <w:kern w:val="2"/>
                      <w:sz w:val="21"/>
                      <w:szCs w:val="21"/>
                      <w:lang w:val="en-US" w:eastAsia="zh-CN" w:bidi="ar-SA"/>
                    </w:rPr>
                  </w:pPr>
                  <w:r>
                    <w:rPr>
                      <w:rFonts w:ascii="Times New Roman"/>
                      <w:sz w:val="21"/>
                    </w:rPr>
                    <w:t>HW29</w:t>
                  </w:r>
                </w:p>
              </w:tc>
              <w:tc>
                <w:tcPr>
                  <w:tcW w:w="1438" w:type="dxa"/>
                  <w:vAlign w:val="top"/>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Times New Roman" w:hAnsi="Times New Roman" w:eastAsia="Times New Roman" w:cs="Times New Roman"/>
                      <w:sz w:val="25"/>
                      <w:szCs w:val="25"/>
                    </w:rPr>
                  </w:pPr>
                </w:p>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ascii="Times New Roman" w:hAnsi="Times New Roman" w:eastAsia="Times New Roman" w:cs="Times New Roman"/>
                      <w:kern w:val="2"/>
                      <w:sz w:val="21"/>
                      <w:szCs w:val="21"/>
                      <w:lang w:val="en-US" w:eastAsia="zh-CN" w:bidi="ar-SA"/>
                    </w:rPr>
                  </w:pPr>
                  <w:r>
                    <w:rPr>
                      <w:rFonts w:ascii="Times New Roman"/>
                      <w:sz w:val="21"/>
                    </w:rPr>
                    <w:t>900-023-29</w:t>
                  </w:r>
                </w:p>
              </w:tc>
              <w:tc>
                <w:tcPr>
                  <w:tcW w:w="541"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c>
                <w:tcPr>
                  <w:tcW w:w="1133"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c>
                <w:tcPr>
                  <w:tcW w:w="1264"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c>
                <w:tcPr>
                  <w:tcW w:w="1264"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jc w:val="center"/>
              </w:trPr>
              <w:tc>
                <w:tcPr>
                  <w:tcW w:w="1078" w:type="dxa"/>
                  <w:vMerge w:val="continue"/>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center"/>
                    <w:textAlignment w:val="auto"/>
                    <w:rPr>
                      <w:rFonts w:ascii="宋体" w:hAnsi="宋体" w:eastAsia="宋体" w:cs="宋体"/>
                      <w:sz w:val="21"/>
                      <w:szCs w:val="21"/>
                    </w:rPr>
                  </w:pPr>
                </w:p>
              </w:tc>
              <w:tc>
                <w:tcPr>
                  <w:tcW w:w="544" w:type="dxa"/>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eastAsia" w:ascii="宋体" w:hAnsi="宋体" w:eastAsia="宋体" w:cs="宋体"/>
                      <w:kern w:val="2"/>
                      <w:sz w:val="21"/>
                      <w:szCs w:val="21"/>
                      <w:lang w:val="en-US" w:eastAsia="zh-CN" w:bidi="ar-SA"/>
                    </w:rPr>
                  </w:pPr>
                  <w:r>
                    <w:rPr>
                      <w:rFonts w:ascii="宋体" w:hAnsi="宋体" w:eastAsia="宋体" w:cs="宋体"/>
                      <w:sz w:val="21"/>
                      <w:szCs w:val="21"/>
                    </w:rPr>
                    <w:t>栅渣</w:t>
                  </w:r>
                  <w:r>
                    <w:rPr>
                      <w:rFonts w:hint="eastAsia" w:ascii="宋体" w:hAnsi="宋体" w:cs="宋体"/>
                      <w:sz w:val="21"/>
                      <w:szCs w:val="21"/>
                      <w:lang w:eastAsia="zh-CN"/>
                    </w:rPr>
                    <w:t>、污泥</w:t>
                  </w:r>
                </w:p>
              </w:tc>
              <w:tc>
                <w:tcPr>
                  <w:tcW w:w="674" w:type="dxa"/>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ascii="Times New Roman" w:hAnsi="Times New Roman" w:eastAsia="Times New Roman" w:cs="Times New Roman"/>
                      <w:kern w:val="2"/>
                      <w:sz w:val="21"/>
                      <w:szCs w:val="21"/>
                      <w:lang w:val="en-US" w:eastAsia="zh-CN" w:bidi="ar-SA"/>
                    </w:rPr>
                  </w:pPr>
                  <w:r>
                    <w:rPr>
                      <w:rFonts w:ascii="Times New Roman"/>
                      <w:sz w:val="21"/>
                    </w:rPr>
                    <w:t>HW49</w:t>
                  </w:r>
                </w:p>
              </w:tc>
              <w:tc>
                <w:tcPr>
                  <w:tcW w:w="1438" w:type="dxa"/>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ascii="Times New Roman" w:hAnsi="Times New Roman" w:eastAsia="Times New Roman" w:cs="Times New Roman"/>
                      <w:kern w:val="2"/>
                      <w:sz w:val="21"/>
                      <w:szCs w:val="21"/>
                      <w:lang w:val="en-US" w:eastAsia="zh-CN" w:bidi="ar-SA"/>
                    </w:rPr>
                  </w:pPr>
                  <w:r>
                    <w:rPr>
                      <w:rFonts w:ascii="Times New Roman"/>
                      <w:sz w:val="21"/>
                    </w:rPr>
                    <w:t>772-006-49</w:t>
                  </w:r>
                </w:p>
              </w:tc>
              <w:tc>
                <w:tcPr>
                  <w:tcW w:w="541"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c>
                <w:tcPr>
                  <w:tcW w:w="1133"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c>
                <w:tcPr>
                  <w:tcW w:w="1264"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c>
                <w:tcPr>
                  <w:tcW w:w="1264" w:type="dxa"/>
                  <w:vMerge w:val="continue"/>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firstLine="0" w:firstLineChars="0"/>
                    <w:jc w:val="left"/>
                    <w:textAlignment w:val="auto"/>
                    <w:rPr>
                      <w:rFonts w:ascii="宋体" w:hAnsi="宋体" w:eastAsia="宋体" w:cs="宋体"/>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lang w:eastAsia="zh-CN"/>
              </w:rPr>
            </w:pPr>
            <w:r>
              <w:rPr>
                <w:rFonts w:hint="default" w:ascii="Times New Roman" w:hAnsi="Times New Roman" w:cs="Times New Roman"/>
                <w:sz w:val="24"/>
                <w:lang w:eastAsia="zh-CN"/>
              </w:rPr>
              <w:object>
                <v:shape id="_x0000_i1026" o:spt="75" type="#_x0000_t75" style="height:127.6pt;width:388.55pt;" o:ole="t" filled="f" o:preferrelative="t" stroked="f" coordsize="21600,21600">
                  <v:path/>
                  <v:fill on="f" focussize="0,0"/>
                  <v:stroke on="f"/>
                  <v:imagedata r:id="rId21" cropbottom="6291f" o:title=""/>
                  <o:lock v:ext="edit" aspectratio="f"/>
                  <w10:wrap type="none"/>
                  <w10:anchorlock/>
                </v:shape>
                <o:OLEObject Type="Embed" ProgID="Visio.Drawing.11" ShapeID="_x0000_i1026" DrawAspect="Content" ObjectID="_1468075726" r:id="rId20">
                  <o:LockedField>false</o:LockedField>
                </o:OLEObject>
              </w:object>
            </w:r>
          </w:p>
          <w:p>
            <w:pPr>
              <w:spacing w:before="156" w:beforeLines="50" w:line="360" w:lineRule="auto"/>
              <w:jc w:val="center"/>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rPr>
              <w:t>图3-</w:t>
            </w:r>
            <w:r>
              <w:rPr>
                <w:rFonts w:hint="eastAsia" w:ascii="Times New Roman" w:hAnsi="Times New Roman" w:cs="Times New Roman"/>
                <w:b/>
                <w:color w:val="000000"/>
                <w:sz w:val="24"/>
                <w:szCs w:val="24"/>
                <w:highlight w:val="none"/>
                <w:lang w:val="en-US" w:eastAsia="zh-CN"/>
              </w:rPr>
              <w:t>4</w:t>
            </w:r>
            <w:r>
              <w:rPr>
                <w:rFonts w:hint="default" w:ascii="Times New Roman" w:hAnsi="Times New Roman" w:cs="Times New Roman"/>
                <w:b/>
                <w:color w:val="000000"/>
                <w:sz w:val="24"/>
                <w:szCs w:val="24"/>
                <w:highlight w:val="none"/>
              </w:rPr>
              <w:t xml:space="preserve">  </w:t>
            </w:r>
            <w:r>
              <w:rPr>
                <w:rFonts w:hint="default" w:ascii="Times New Roman" w:hAnsi="Times New Roman" w:cs="Times New Roman"/>
                <w:b/>
                <w:color w:val="000000"/>
                <w:sz w:val="24"/>
                <w:szCs w:val="24"/>
                <w:highlight w:val="none"/>
                <w:lang w:eastAsia="zh-CN"/>
              </w:rPr>
              <w:t>固废</w:t>
            </w:r>
            <w:r>
              <w:rPr>
                <w:rFonts w:hint="default" w:ascii="Times New Roman" w:hAnsi="Times New Roman" w:cs="Times New Roman"/>
                <w:b/>
                <w:color w:val="000000"/>
                <w:sz w:val="24"/>
                <w:szCs w:val="24"/>
                <w:highlight w:val="none"/>
              </w:rPr>
              <w:t>处理和排放示意图</w:t>
            </w:r>
          </w:p>
          <w:p>
            <w:pPr>
              <w:spacing w:line="360" w:lineRule="auto"/>
              <w:ind w:firstLine="600" w:firstLineChars="250"/>
              <w:rPr>
                <w:rFonts w:ascii="Times New Roman" w:hAnsi="Times New Roman" w:cs="Times New Roman"/>
                <w:sz w:val="24"/>
                <w:szCs w:val="24"/>
              </w:rPr>
            </w:pPr>
            <w:r>
              <w:rPr>
                <w:rFonts w:hint="eastAsia" w:ascii="Times New Roman" w:hAnsi="Times New Roman" w:cs="Times New Roman"/>
                <w:sz w:val="24"/>
                <w:szCs w:val="24"/>
              </w:rPr>
              <w:t>一般工业固体废物执行</w:t>
            </w:r>
            <w:r>
              <w:rPr>
                <w:rFonts w:hint="eastAsia" w:ascii="Times New Roman" w:hAnsi="Times New Roman" w:cs="Times New Roman"/>
                <w:sz w:val="24"/>
                <w:szCs w:val="24"/>
                <w:lang w:eastAsia="zh-CN"/>
              </w:rPr>
              <w:t>《一般工业固体废物贮存和填埋污染控制标准》</w:t>
            </w:r>
            <w:r>
              <w:rPr>
                <w:rFonts w:hint="eastAsia" w:ascii="Times New Roman" w:hAnsi="Times New Roman" w:cs="Times New Roman"/>
                <w:sz w:val="24"/>
                <w:szCs w:val="24"/>
              </w:rPr>
              <w:t>（GB18599-20</w:t>
            </w:r>
            <w:r>
              <w:rPr>
                <w:rFonts w:hint="eastAsia" w:ascii="Times New Roman" w:hAnsi="Times New Roman" w:cs="Times New Roman"/>
                <w:sz w:val="24"/>
                <w:szCs w:val="24"/>
                <w:lang w:val="en-US" w:eastAsia="zh-CN"/>
              </w:rPr>
              <w:t>20</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标准要求</w:t>
            </w:r>
            <w:r>
              <w:rPr>
                <w:rFonts w:hint="eastAsia" w:ascii="Times New Roman" w:hAnsi="Times New Roman" w:cs="Times New Roman"/>
                <w:sz w:val="24"/>
                <w:szCs w:val="24"/>
              </w:rPr>
              <w:t>；危险废物执行《危险废物贮存污染控制标准要求》（GB18597-2001及修订单标准要求）。医疗废物执行《医疗废物管理条例》、《山东省医疗机构污染物排放控制标准》（DB37/596-2020）医疗废物处置方法相关要求和《危险废物贮存污染控制标准》（GB18597-2001）及修改单要求。</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293360" cy="2221865"/>
                  <wp:effectExtent l="0" t="0" r="0" b="0"/>
                  <wp:docPr id="12" name="图片 12" descr="ee5e5e8b7a71336781354f010b4b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e5e5e8b7a71336781354f010b4be72"/>
                          <pic:cNvPicPr>
                            <a:picLocks noChangeAspect="1"/>
                          </pic:cNvPicPr>
                        </pic:nvPicPr>
                        <pic:blipFill>
                          <a:blip r:embed="rId22"/>
                          <a:srcRect l="-506" t="6243"/>
                          <a:stretch>
                            <a:fillRect/>
                          </a:stretch>
                        </pic:blipFill>
                        <pic:spPr>
                          <a:xfrm>
                            <a:off x="0" y="0"/>
                            <a:ext cx="5293360" cy="2221865"/>
                          </a:xfrm>
                          <a:prstGeom prst="rect">
                            <a:avLst/>
                          </a:prstGeom>
                        </pic:spPr>
                      </pic:pic>
                    </a:graphicData>
                  </a:graphic>
                </wp:inline>
              </w:drawing>
            </w:r>
          </w:p>
          <w:p>
            <w:pPr>
              <w:pStyle w:val="2"/>
              <w:rPr>
                <w:rFonts w:hint="eastAsia"/>
                <w:lang w:eastAsia="zh-CN"/>
              </w:rPr>
            </w:pPr>
            <w:r>
              <w:rPr>
                <w:rFonts w:hint="eastAsia"/>
                <w:lang w:eastAsia="zh-CN"/>
              </w:rPr>
              <w:drawing>
                <wp:inline distT="0" distB="0" distL="114300" distR="114300">
                  <wp:extent cx="5173980" cy="2187575"/>
                  <wp:effectExtent l="0" t="0" r="0" b="0"/>
                  <wp:docPr id="13" name="图片 13" descr="42c63c6ed50843094475cd79eac6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2c63c6ed50843094475cd79eac675c"/>
                          <pic:cNvPicPr>
                            <a:picLocks noChangeAspect="1"/>
                          </pic:cNvPicPr>
                        </pic:nvPicPr>
                        <pic:blipFill>
                          <a:blip r:embed="rId23"/>
                          <a:srcRect l="1760" t="7690"/>
                          <a:stretch>
                            <a:fillRect/>
                          </a:stretch>
                        </pic:blipFill>
                        <pic:spPr>
                          <a:xfrm>
                            <a:off x="0" y="0"/>
                            <a:ext cx="5173980" cy="2187575"/>
                          </a:xfrm>
                          <a:prstGeom prst="rect">
                            <a:avLst/>
                          </a:prstGeom>
                        </pic:spPr>
                      </pic:pic>
                    </a:graphicData>
                  </a:graphic>
                </wp:inline>
              </w:drawing>
            </w:r>
          </w:p>
          <w:p>
            <w:pPr>
              <w:spacing w:before="156" w:beforeLines="50" w:line="360" w:lineRule="auto"/>
              <w:jc w:val="center"/>
              <w:rPr>
                <w:rFonts w:ascii="Times New Roman" w:hAnsi="Times New Roman" w:cs="Times New Roman"/>
                <w:sz w:val="24"/>
                <w:szCs w:val="24"/>
              </w:rPr>
            </w:pPr>
            <w:r>
              <w:rPr>
                <w:rFonts w:hint="default" w:ascii="Times New Roman" w:hAnsi="Times New Roman" w:cs="Times New Roman"/>
                <w:b/>
                <w:color w:val="000000"/>
                <w:sz w:val="24"/>
                <w:szCs w:val="24"/>
                <w:highlight w:val="none"/>
              </w:rPr>
              <w:t>图3-</w:t>
            </w:r>
            <w:r>
              <w:rPr>
                <w:rFonts w:hint="eastAsia" w:ascii="Times New Roman" w:hAnsi="Times New Roman" w:cs="Times New Roman"/>
                <w:b/>
                <w:color w:val="000000"/>
                <w:sz w:val="24"/>
                <w:szCs w:val="24"/>
                <w:highlight w:val="none"/>
                <w:lang w:val="en-US" w:eastAsia="zh-CN"/>
              </w:rPr>
              <w:t>5</w:t>
            </w:r>
            <w:r>
              <w:rPr>
                <w:rFonts w:hint="default" w:ascii="Times New Roman" w:hAnsi="Times New Roman" w:cs="Times New Roman"/>
                <w:b/>
                <w:color w:val="000000"/>
                <w:sz w:val="24"/>
                <w:szCs w:val="24"/>
                <w:highlight w:val="none"/>
              </w:rPr>
              <w:t xml:space="preserve">  </w:t>
            </w:r>
            <w:r>
              <w:rPr>
                <w:rFonts w:hint="eastAsia" w:ascii="Times New Roman" w:hAnsi="Times New Roman" w:cs="Times New Roman"/>
                <w:b/>
                <w:color w:val="000000"/>
                <w:sz w:val="24"/>
                <w:szCs w:val="24"/>
                <w:highlight w:val="none"/>
                <w:lang w:eastAsia="zh-CN"/>
              </w:rPr>
              <w:t>危废间照片</w:t>
            </w:r>
          </w:p>
        </w:tc>
      </w:tr>
    </w:tbl>
    <w:p>
      <w:pPr>
        <w:rPr>
          <w:rFonts w:ascii="Times New Roman" w:hAnsi="Times New Roman" w:cs="Times New Roman"/>
          <w:spacing w:val="6"/>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spacing w:before="0" w:after="0" w:line="360" w:lineRule="auto"/>
        <w:jc w:val="left"/>
        <w:rPr>
          <w:rFonts w:ascii="Times New Roman" w:hAnsi="Times New Roman" w:cs="Times New Roman"/>
          <w:sz w:val="28"/>
          <w:szCs w:val="28"/>
        </w:rPr>
      </w:pPr>
      <w:bookmarkStart w:id="3" w:name="_Toc478045783"/>
      <w:bookmarkStart w:id="4" w:name="_Toc478213186"/>
      <w:bookmarkStart w:id="5" w:name="_Toc516087076"/>
      <w:r>
        <w:rPr>
          <w:rFonts w:ascii="Times New Roman" w:hAnsi="Times New Roman" w:cs="Times New Roman"/>
          <w:sz w:val="28"/>
          <w:szCs w:val="28"/>
        </w:rPr>
        <w:t>表四</w:t>
      </w:r>
      <w:bookmarkEnd w:id="3"/>
      <w:bookmarkEnd w:id="4"/>
      <w:r>
        <w:rPr>
          <w:rFonts w:hint="eastAsia" w:ascii="Times New Roman" w:hAnsi="Times New Roman" w:cs="Times New Roman"/>
          <w:sz w:val="28"/>
          <w:szCs w:val="28"/>
          <w:lang w:val="en-US" w:eastAsia="zh-CN"/>
        </w:rPr>
        <w:t xml:space="preserve"> </w:t>
      </w:r>
      <w:r>
        <w:rPr>
          <w:rFonts w:ascii="Times New Roman" w:hAnsi="Times New Roman" w:eastAsia="宋体" w:cs="Times New Roman"/>
          <w:color w:val="000000"/>
          <w:sz w:val="28"/>
          <w:szCs w:val="28"/>
        </w:rPr>
        <w:t>建设项目环境影响报告表主要结论及审批部门审批决定</w:t>
      </w:r>
      <w:bookmarkEnd w:id="5"/>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043" w:hRule="atLeast"/>
          <w:jc w:val="center"/>
        </w:trPr>
        <w:tc>
          <w:tcPr>
            <w:tcW w:w="5000" w:type="pct"/>
          </w:tcPr>
          <w:p>
            <w:pPr>
              <w:spacing w:beforeLines="20" w:line="36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建设项目环境影响报告表主要结论及审批部门审批决定：</w:t>
            </w:r>
          </w:p>
          <w:p>
            <w:pPr>
              <w:numPr>
                <w:ilvl w:val="0"/>
                <w:numId w:val="1"/>
              </w:numPr>
              <w:spacing w:beforeLines="50" w:afterLines="5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建设项目环境影响报告表主要结论：</w:t>
            </w:r>
          </w:p>
          <w:p>
            <w:pPr>
              <w:numPr>
                <w:ilvl w:val="0"/>
                <w:numId w:val="2"/>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结论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1、项目概况</w:t>
            </w:r>
          </w:p>
          <w:p>
            <w:pPr>
              <w:spacing w:line="360" w:lineRule="auto"/>
              <w:ind w:firstLine="480" w:firstLineChars="200"/>
              <w:jc w:val="left"/>
              <w:rPr>
                <w:rFonts w:hint="eastAsia" w:ascii="宋体" w:hAnsi="宋体" w:eastAsia="宋体" w:cs="宋体"/>
                <w:sz w:val="24"/>
                <w:szCs w:val="24"/>
                <w:lang w:val="en-US" w:eastAsia="zh-CN"/>
              </w:rPr>
            </w:pPr>
            <w:r>
              <w:rPr>
                <w:rFonts w:hint="eastAsia" w:ascii="Times New Roman" w:hAnsi="Times New Roman" w:eastAsia="宋体" w:cs="Times New Roman"/>
                <w:color w:val="000000"/>
                <w:sz w:val="24"/>
                <w:szCs w:val="24"/>
                <w:lang w:eastAsia="zh-CN"/>
              </w:rPr>
              <w:t>山东新中鲁中医医院有限公司</w:t>
            </w:r>
            <w:r>
              <w:rPr>
                <w:rFonts w:ascii="宋体" w:hAnsi="宋体" w:eastAsia="宋体" w:cs="宋体"/>
                <w:sz w:val="24"/>
                <w:szCs w:val="24"/>
              </w:rPr>
              <w:t>成立于</w:t>
            </w:r>
            <w:r>
              <w:rPr>
                <w:rFonts w:ascii="Times New Roman" w:hAnsi="Times New Roman" w:eastAsia="Times New Roman" w:cs="Times New Roman"/>
                <w:sz w:val="24"/>
                <w:szCs w:val="24"/>
              </w:rPr>
              <w:t>2019</w:t>
            </w:r>
            <w:r>
              <w:rPr>
                <w:rFonts w:ascii="宋体" w:hAnsi="宋体" w:eastAsia="宋体" w:cs="宋体"/>
                <w:sz w:val="24"/>
                <w:szCs w:val="24"/>
              </w:rPr>
              <w:t>年</w:t>
            </w:r>
            <w:r>
              <w:rPr>
                <w:rFonts w:ascii="Times New Roman" w:hAnsi="Times New Roman" w:eastAsia="Times New Roman" w:cs="Times New Roman"/>
                <w:sz w:val="24"/>
                <w:szCs w:val="24"/>
              </w:rPr>
              <w:t>4</w:t>
            </w:r>
            <w:r>
              <w:rPr>
                <w:rFonts w:ascii="宋体" w:hAnsi="宋体" w:eastAsia="宋体" w:cs="宋体"/>
                <w:spacing w:val="-9"/>
                <w:sz w:val="24"/>
                <w:szCs w:val="24"/>
              </w:rPr>
              <w:t>月，注册地为山东省济南</w:t>
            </w:r>
            <w:r>
              <w:rPr>
                <w:rFonts w:ascii="宋体" w:hAnsi="宋体" w:eastAsia="宋体" w:cs="宋体"/>
                <w:sz w:val="24"/>
                <w:szCs w:val="24"/>
              </w:rPr>
              <w:t>市历下区山师东路</w:t>
            </w:r>
            <w:r>
              <w:rPr>
                <w:rFonts w:ascii="Times New Roman" w:hAnsi="Times New Roman" w:eastAsia="Times New Roman" w:cs="Times New Roman"/>
                <w:sz w:val="24"/>
                <w:szCs w:val="24"/>
              </w:rPr>
              <w:t>28-4</w:t>
            </w:r>
            <w:r>
              <w:rPr>
                <w:rFonts w:ascii="宋体" w:hAnsi="宋体" w:eastAsia="宋体" w:cs="宋体"/>
                <w:sz w:val="24"/>
                <w:szCs w:val="24"/>
              </w:rPr>
              <w:t>号，主要经营范围为医院诊疗服务；医院管理咨询</w:t>
            </w:r>
            <w:r>
              <w:rPr>
                <w:rFonts w:hint="eastAsia" w:ascii="宋体" w:hAnsi="宋体" w:eastAsia="宋体" w:cs="宋体"/>
                <w:sz w:val="24"/>
                <w:szCs w:val="24"/>
                <w:lang w:eastAsia="zh-CN"/>
              </w:rPr>
              <w:t>等。</w:t>
            </w:r>
            <w:r>
              <w:rPr>
                <w:rFonts w:ascii="宋体" w:hAnsi="宋体" w:eastAsia="宋体" w:cs="宋体"/>
                <w:sz w:val="24"/>
                <w:szCs w:val="24"/>
              </w:rPr>
              <w:t>根据公司发展战略，山东新中鲁中医医院有限公司拟投资</w:t>
            </w:r>
            <w:r>
              <w:rPr>
                <w:rFonts w:ascii="Times New Roman" w:hAnsi="Times New Roman" w:eastAsia="Times New Roman" w:cs="Times New Roman"/>
                <w:sz w:val="24"/>
                <w:szCs w:val="24"/>
              </w:rPr>
              <w:t>1000</w:t>
            </w:r>
            <w:r>
              <w:rPr>
                <w:rFonts w:ascii="宋体" w:hAnsi="宋体" w:eastAsia="宋体" w:cs="宋体"/>
                <w:spacing w:val="-12"/>
                <w:sz w:val="24"/>
                <w:szCs w:val="24"/>
              </w:rPr>
              <w:t>万元，租</w:t>
            </w:r>
            <w:r>
              <w:rPr>
                <w:rFonts w:ascii="宋体" w:hAnsi="宋体" w:eastAsia="宋体" w:cs="宋体"/>
                <w:sz w:val="24"/>
                <w:szCs w:val="24"/>
              </w:rPr>
              <w:t>赁山东省济南市历下区趵突泉街道趵突泉南路</w:t>
            </w:r>
            <w:r>
              <w:rPr>
                <w:rFonts w:ascii="Times New Roman" w:hAnsi="Times New Roman" w:eastAsia="Times New Roman" w:cs="Times New Roman"/>
                <w:sz w:val="24"/>
                <w:szCs w:val="24"/>
              </w:rPr>
              <w:t>6</w:t>
            </w:r>
            <w:r>
              <w:rPr>
                <w:rFonts w:ascii="宋体" w:hAnsi="宋体" w:eastAsia="宋体" w:cs="宋体"/>
                <w:sz w:val="24"/>
                <w:szCs w:val="24"/>
              </w:rPr>
              <w:t>号现有房屋</w:t>
            </w:r>
            <w:r>
              <w:rPr>
                <w:rFonts w:hint="default" w:ascii="Times New Roman" w:hAnsi="Times New Roman" w:cs="Times New Roman"/>
                <w:bCs/>
                <w:color w:val="000000"/>
                <w:sz w:val="24"/>
                <w:lang w:val="en-US" w:eastAsia="zh-CN"/>
              </w:rPr>
              <w:t>建设</w:t>
            </w:r>
            <w:r>
              <w:rPr>
                <w:rFonts w:hint="eastAsia" w:ascii="Times New Roman" w:hAnsi="Times New Roman" w:eastAsia="宋体" w:cs="Times New Roman"/>
                <w:color w:val="000000"/>
                <w:sz w:val="24"/>
                <w:szCs w:val="24"/>
                <w:highlight w:val="none"/>
                <w:lang w:eastAsia="zh-CN"/>
              </w:rPr>
              <w:t>山东新中鲁中医医院有限公司新建中医医院项目</w:t>
            </w:r>
            <w:r>
              <w:rPr>
                <w:rFonts w:hint="default" w:ascii="Times New Roman" w:hAnsi="Times New Roman" w:cs="Times New Roman"/>
                <w:bCs/>
                <w:color w:val="000000"/>
                <w:sz w:val="24"/>
                <w:lang w:eastAsia="zh-CN"/>
              </w:rPr>
              <w:t>，</w:t>
            </w:r>
            <w:r>
              <w:rPr>
                <w:rFonts w:hint="default" w:ascii="Times New Roman" w:hAnsi="Times New Roman" w:cs="Times New Roman"/>
                <w:bCs/>
                <w:color w:val="0000FF"/>
                <w:sz w:val="24"/>
              </w:rPr>
              <w:t>占地面积1778m</w:t>
            </w:r>
            <w:r>
              <w:rPr>
                <w:rFonts w:hint="default" w:ascii="Times New Roman" w:hAnsi="Times New Roman" w:cs="Times New Roman"/>
                <w:bCs/>
                <w:color w:val="0000FF"/>
                <w:sz w:val="24"/>
                <w:vertAlign w:val="superscript"/>
              </w:rPr>
              <w:t>2</w:t>
            </w:r>
            <w:r>
              <w:rPr>
                <w:rFonts w:hint="default" w:ascii="Times New Roman" w:hAnsi="Times New Roman" w:cs="Times New Roman"/>
                <w:bCs/>
                <w:color w:val="0000FF"/>
                <w:sz w:val="24"/>
              </w:rPr>
              <w:t>，总建筑面积为4133.27</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2</w:t>
            </w:r>
            <w:r>
              <w:rPr>
                <w:rFonts w:hint="default" w:ascii="Times New Roman" w:hAnsi="Times New Roman" w:cs="Times New Roman"/>
                <w:bCs/>
                <w:color w:val="000000"/>
                <w:sz w:val="24"/>
              </w:rPr>
              <w:t>。</w:t>
            </w:r>
            <w:r>
              <w:rPr>
                <w:rFonts w:ascii="宋体" w:hAnsi="宋体" w:eastAsia="宋体" w:cs="宋体"/>
                <w:sz w:val="24"/>
                <w:szCs w:val="24"/>
              </w:rPr>
              <w:t>项目设置</w:t>
            </w:r>
            <w:r>
              <w:rPr>
                <w:rFonts w:ascii="Times New Roman" w:hAnsi="Times New Roman" w:eastAsia="Times New Roman" w:cs="Times New Roman"/>
                <w:sz w:val="24"/>
                <w:szCs w:val="24"/>
              </w:rPr>
              <w:t>27</w:t>
            </w:r>
            <w:r>
              <w:rPr>
                <w:rFonts w:ascii="宋体" w:hAnsi="宋体" w:eastAsia="宋体" w:cs="宋体"/>
                <w:sz w:val="24"/>
                <w:szCs w:val="24"/>
              </w:rPr>
              <w:t>张床位，劳动定员</w:t>
            </w:r>
            <w:r>
              <w:rPr>
                <w:rFonts w:ascii="Times New Roman" w:hAnsi="Times New Roman" w:eastAsia="Times New Roman" w:cs="Times New Roman"/>
                <w:sz w:val="24"/>
                <w:szCs w:val="24"/>
              </w:rPr>
              <w:t>45</w:t>
            </w:r>
            <w:r>
              <w:rPr>
                <w:rFonts w:ascii="宋体" w:hAnsi="宋体" w:eastAsia="宋体" w:cs="宋体"/>
                <w:sz w:val="24"/>
                <w:szCs w:val="24"/>
              </w:rPr>
              <w:t>人，其中医务人员（医生、护士等）</w:t>
            </w:r>
            <w:r>
              <w:rPr>
                <w:rFonts w:hint="eastAsia" w:ascii="宋体" w:hAnsi="宋体" w:eastAsia="宋体" w:cs="宋体"/>
                <w:sz w:val="24"/>
                <w:szCs w:val="24"/>
                <w:lang w:eastAsia="zh-CN"/>
              </w:rPr>
              <w:t>，门诊接诊量</w:t>
            </w:r>
            <w:r>
              <w:rPr>
                <w:rFonts w:hint="eastAsia" w:ascii="宋体" w:hAnsi="宋体" w:eastAsia="宋体" w:cs="宋体"/>
                <w:sz w:val="24"/>
                <w:szCs w:val="24"/>
                <w:lang w:val="en-US" w:eastAsia="zh-CN"/>
              </w:rPr>
              <w:t>100人次/天。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2、政策符合性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本项目为</w:t>
            </w:r>
            <w:r>
              <w:rPr>
                <w:rFonts w:hint="eastAsia" w:ascii="宋体" w:hAnsi="宋体" w:eastAsia="宋体" w:cs="宋体"/>
                <w:sz w:val="24"/>
                <w:szCs w:val="24"/>
                <w:lang w:eastAsia="zh-CN"/>
              </w:rPr>
              <w:t>山东新中鲁中医医院有限公司新建中医医院项目</w:t>
            </w:r>
            <w:r>
              <w:rPr>
                <w:rFonts w:hint="eastAsia" w:ascii="宋体" w:hAnsi="宋体" w:eastAsia="宋体" w:cs="宋体"/>
                <w:sz w:val="24"/>
                <w:szCs w:val="24"/>
              </w:rPr>
              <w:t>，根据国家发改委《产业结构调整指导目录（2019年本）》，</w:t>
            </w:r>
            <w:r>
              <w:rPr>
                <w:rFonts w:ascii="宋体" w:hAnsi="宋体" w:eastAsia="宋体" w:cs="宋体"/>
                <w:sz w:val="24"/>
                <w:szCs w:val="24"/>
              </w:rPr>
              <w:t>本项目属于《产业结构调整指导目录（</w:t>
            </w:r>
            <w:r>
              <w:rPr>
                <w:rFonts w:ascii="Times New Roman" w:hAnsi="Times New Roman" w:eastAsia="Times New Roman" w:cs="Times New Roman"/>
                <w:sz w:val="24"/>
                <w:szCs w:val="24"/>
              </w:rPr>
              <w:t>2019</w:t>
            </w:r>
            <w:r>
              <w:rPr>
                <w:rFonts w:ascii="宋体" w:hAnsi="宋体" w:eastAsia="宋体" w:cs="宋体"/>
                <w:sz w:val="24"/>
                <w:szCs w:val="24"/>
              </w:rPr>
              <w:t>年本）》</w:t>
            </w:r>
            <w:r>
              <w:rPr>
                <w:rFonts w:ascii="宋体" w:hAnsi="宋体" w:eastAsia="宋体" w:cs="宋体"/>
                <w:spacing w:val="-2"/>
                <w:sz w:val="24"/>
                <w:szCs w:val="24"/>
              </w:rPr>
              <w:t>中规定的“鼓励类中三十七、卫生健康：</w:t>
            </w:r>
            <w:r>
              <w:rPr>
                <w:rFonts w:ascii="Times New Roman" w:hAnsi="Times New Roman" w:eastAsia="Times New Roman" w:cs="Times New Roman"/>
                <w:spacing w:val="-2"/>
                <w:sz w:val="24"/>
                <w:szCs w:val="24"/>
              </w:rPr>
              <w:t>5</w:t>
            </w:r>
            <w:r>
              <w:rPr>
                <w:rFonts w:ascii="宋体" w:hAnsi="宋体" w:eastAsia="宋体" w:cs="宋体"/>
                <w:spacing w:val="-2"/>
                <w:sz w:val="24"/>
                <w:szCs w:val="24"/>
              </w:rPr>
              <w:t>、医疗卫生服务设施建设”，故项目</w:t>
            </w:r>
            <w:r>
              <w:rPr>
                <w:rFonts w:ascii="宋体" w:hAnsi="宋体" w:eastAsia="宋体" w:cs="宋体"/>
                <w:spacing w:val="2"/>
                <w:sz w:val="24"/>
                <w:szCs w:val="24"/>
              </w:rPr>
              <w:t>的建设符合国家的产业政策。</w:t>
            </w:r>
            <w:r>
              <w:rPr>
                <w:rFonts w:hint="eastAsia" w:ascii="宋体" w:hAnsi="宋体" w:eastAsia="宋体" w:cs="宋体"/>
                <w:sz w:val="24"/>
                <w:szCs w:val="24"/>
              </w:rPr>
              <w:t>因此，本项目符合国家产业政策。</w:t>
            </w:r>
          </w:p>
          <w:p>
            <w:pPr>
              <w:numPr>
                <w:ilvl w:val="0"/>
                <w:numId w:val="0"/>
              </w:num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营运期环境影响</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(1）废气环境影响分析</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项目营运期废气主要为病房通风废气、污水处理设施恶臭和煎药废气，项目废气能够实现达标排放，对环境空气的影响能够控制在允许范围之内，对周围环境影响较小。该项目大气污染物下风向最大浓度均小于相应环境质量标准的要求，项目厂界浓度满足大气污染物厂界浓度限值，且厂界外大气污染物短期贡献浓度不超过环境质量浓度限值，所以本项目不需要设置大气环境防护距离。项目建设前后，污染物达标排放，不涉及有毒有害废气排放；对周围大气环境敏感目标影响不大，对当地环境空气质量改善无影响。故项目建设后大气环境影响可接受</w:t>
            </w:r>
            <w:r>
              <w:rPr>
                <w:rFonts w:hint="eastAsia" w:ascii="宋体" w:hAnsi="宋体" w:eastAsia="宋体" w:cs="宋体"/>
                <w:sz w:val="24"/>
                <w:szCs w:val="24"/>
                <w:lang w:eastAsia="zh-CN"/>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(2）废水环境影响</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废水产生情况项目废水主要为生活污水、医疗废水（门诊废水、病房废水、化验废水、手术废水）、煎药罐清洗废水、地面保洁废水经过污水处理站处理达标后，排入市政污水管网，进入光大水务（济南）有限公司一厂进行处理，处理达标后最终排入小清河，对周围环境影响较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(3）噪声环境影响</w:t>
            </w:r>
          </w:p>
          <w:p>
            <w:pPr>
              <w:spacing w:line="360" w:lineRule="auto"/>
              <w:ind w:firstLine="480" w:firstLineChars="200"/>
              <w:jc w:val="left"/>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本项目声环境保护目标能够达到《声环境质量标准》（GB3096-2008）1类标准，本项目对周边声环境质量影响较小。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(4)固体废物环境影响</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本项目产生的固体废物包括一般固体废物、危险废物及生活垃圾。一般固体废物包括未被污染的包装材料、塑料（玻璃）输液瓶（袋）、药渣等；危险废物主要包括医疗废物、废紫外灯管、化粪池污泥、污水处理栅渣及污泥。生活垃圾</w:t>
            </w:r>
            <w:r>
              <w:rPr>
                <w:rFonts w:hint="eastAsia" w:ascii="宋体" w:hAnsi="宋体" w:eastAsia="宋体" w:cs="宋体"/>
                <w:sz w:val="24"/>
                <w:szCs w:val="24"/>
                <w:lang w:eastAsia="zh-CN"/>
              </w:rPr>
              <w:t>、药渣等</w:t>
            </w:r>
            <w:r>
              <w:rPr>
                <w:rFonts w:hint="eastAsia" w:ascii="宋体" w:hAnsi="宋体" w:eastAsia="宋体" w:cs="宋体"/>
                <w:sz w:val="24"/>
                <w:szCs w:val="24"/>
              </w:rPr>
              <w:t>由市政环卫部门清运。</w:t>
            </w:r>
            <w:r>
              <w:rPr>
                <w:rFonts w:hint="eastAsia" w:ascii="宋体" w:hAnsi="宋体" w:eastAsia="宋体" w:cs="宋体"/>
                <w:sz w:val="24"/>
                <w:szCs w:val="24"/>
                <w:lang w:eastAsia="zh-CN"/>
              </w:rPr>
              <w:t>一般工业固废外售</w:t>
            </w:r>
            <w:r>
              <w:rPr>
                <w:rFonts w:hint="eastAsia" w:ascii="宋体" w:hAnsi="宋体" w:eastAsia="宋体" w:cs="宋体"/>
                <w:sz w:val="24"/>
                <w:szCs w:val="24"/>
              </w:rPr>
              <w:t>未被污染的包装材料、塑料（玻璃）输液瓶（袋）</w:t>
            </w:r>
            <w:r>
              <w:rPr>
                <w:rFonts w:hint="eastAsia" w:ascii="宋体" w:hAnsi="宋体" w:eastAsia="宋体" w:cs="宋体"/>
                <w:sz w:val="24"/>
                <w:szCs w:val="24"/>
                <w:lang w:eastAsia="zh-CN"/>
              </w:rPr>
              <w:t>外售综合利用。危险废物经危废间暂存后交由资质单位处置。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、环评总结论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综上所述，该项目符合国家产业政策要求，项目选址合理，采取的污染防治措施有效可行，可使各类污染物达标排放，项目的环境风险较小，风险防范措施有效，项目风险程度可以接受。从环境保护角度分析，本项目的建设是可行的。</w:t>
            </w:r>
          </w:p>
          <w:p>
            <w:pPr>
              <w:numPr>
                <w:ilvl w:val="0"/>
                <w:numId w:val="3"/>
              </w:numPr>
              <w:spacing w:line="360" w:lineRule="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审批部门审批决定：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eastAsia="zh-CN"/>
              </w:rPr>
              <w:t>山东新中鲁中医医院有限公司</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你单位报送《</w:t>
            </w:r>
            <w:r>
              <w:rPr>
                <w:rFonts w:hint="eastAsia" w:ascii="宋体" w:hAnsi="宋体" w:eastAsia="宋体" w:cs="宋体"/>
                <w:sz w:val="24"/>
                <w:szCs w:val="24"/>
                <w:lang w:eastAsia="zh-CN"/>
              </w:rPr>
              <w:t>山东新中鲁中医医院有限公司新建中医医院项目</w:t>
            </w:r>
            <w:r>
              <w:rPr>
                <w:rFonts w:hint="eastAsia" w:ascii="宋体" w:hAnsi="宋体" w:eastAsia="宋体" w:cs="宋体"/>
                <w:sz w:val="24"/>
                <w:szCs w:val="24"/>
              </w:rPr>
              <w:t>环境影响报告表》收悉。经审查，批复如下：</w:t>
            </w:r>
          </w:p>
          <w:p>
            <w:pPr>
              <w:numPr>
                <w:ilvl w:val="0"/>
                <w:numId w:val="4"/>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本项目位于历下区趵突泉南路6号(租赁)，占地面积1778m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eastAsia="zh-CN"/>
              </w:rPr>
              <w:t>，总建筑面积4133.27m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eastAsia="zh-CN"/>
              </w:rPr>
              <w:t>(其中地上七层、地下一层)。本项目为新建中医医院，主要建设内容包括地卜下一层设放射科、危废间，一层设导医台、收费室、门诊办、中药房、西药房、大药房、储存间，二层设心电图室、彩超室、诊室，三层设中医诊室，四层设针推治疗室，五层设门诊手术室、诊室，六层为病房(设置27张床位)，七层有会议室、院办、综合办、财务室、凭证室等，新建一体化污水处理设施位于医院主体建筑东侧(占地面积23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eastAsia="zh-CN"/>
              </w:rPr>
              <w:t>)，危废暂存间位于地下一层西南侧(建筑面积6.6m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eastAsia="zh-CN"/>
              </w:rPr>
              <w:t>)，污水处理设施下方设置一个容积为12m</w:t>
            </w:r>
            <w:r>
              <w:rPr>
                <w:rFonts w:hint="eastAsia" w:ascii="Times New Roman" w:hAnsi="Times New Roman" w:eastAsia="宋体" w:cs="Times New Roman"/>
                <w:color w:val="000000"/>
                <w:sz w:val="24"/>
                <w:szCs w:val="24"/>
                <w:vertAlign w:val="superscript"/>
                <w:lang w:eastAsia="zh-CN"/>
              </w:rPr>
              <w:t>3</w:t>
            </w:r>
            <w:r>
              <w:rPr>
                <w:rFonts w:hint="eastAsia" w:ascii="Times New Roman" w:hAnsi="Times New Roman" w:eastAsia="宋体" w:cs="Times New Roman"/>
                <w:color w:val="000000"/>
                <w:sz w:val="24"/>
                <w:szCs w:val="24"/>
                <w:lang w:eastAsia="zh-CN"/>
              </w:rPr>
              <w:t>事故应急水池。本项目总投资1000万元，其中环保投资</w:t>
            </w:r>
            <w:r>
              <w:rPr>
                <w:rFonts w:hint="eastAsia" w:ascii="Times New Roman" w:hAnsi="Times New Roman" w:eastAsia="宋体" w:cs="Times New Roman"/>
                <w:color w:val="000000"/>
                <w:sz w:val="24"/>
                <w:szCs w:val="24"/>
                <w:lang w:val="en-US" w:eastAsia="zh-CN"/>
              </w:rPr>
              <w:t>10</w:t>
            </w:r>
            <w:r>
              <w:rPr>
                <w:rFonts w:hint="eastAsia" w:ascii="Times New Roman" w:hAnsi="Times New Roman" w:eastAsia="宋体" w:cs="Times New Roman"/>
                <w:color w:val="000000"/>
                <w:sz w:val="24"/>
                <w:szCs w:val="24"/>
                <w:lang w:eastAsia="zh-CN"/>
              </w:rPr>
              <w:t>万元，劳动定员45人(其中医务人员29人，行政后勤人员16人)，不设置餐厅，全年365天、每天24小时运行，施工期为4个月，预计日接诊人数100人。</w:t>
            </w:r>
          </w:p>
          <w:p>
            <w:pPr>
              <w:numPr>
                <w:ilvl w:val="0"/>
                <w:numId w:val="0"/>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我局于2022年6月29日受理该项目并在济南市生态环境局网站进行了公示，公示期间未收到公众反对意见。根据现场查看及环境影响评价结论，在环保措施落实报告表及我局审批意见的前提下，污染物能够达标排放。从环境保护角度分析，准予该项目办理环保审批手续。</w:t>
            </w:r>
          </w:p>
          <w:p>
            <w:pPr>
              <w:pStyle w:val="37"/>
              <w:widowControl w:val="0"/>
              <w:numPr>
                <w:ilvl w:val="0"/>
                <w:numId w:val="0"/>
              </w:numPr>
              <w:adjustRightInd w:val="0"/>
              <w:spacing w:line="360" w:lineRule="auto"/>
              <w:ind w:firstLine="480" w:firstLineChars="200"/>
              <w:jc w:val="left"/>
              <w:textAlignment w:val="baseline"/>
              <w:rPr>
                <w:rFonts w:hint="eastAsia"/>
              </w:rPr>
            </w:pPr>
            <w:r>
              <w:rPr>
                <w:rFonts w:hint="eastAsia"/>
              </w:rPr>
              <w:t>二、该项目在建设中须做到以下几点:</w:t>
            </w:r>
          </w:p>
          <w:p>
            <w:pPr>
              <w:numPr>
                <w:ilvl w:val="0"/>
                <w:numId w:val="0"/>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1、本项目污水处理设施采用一体化密闭设施，在运行过程中投加除臭剂。污水处理设施周边大气污染物最高允许浓度应达到《山东省医疗机构污染物排放控制标准》(DB37/596-2020)表2要求。</w:t>
            </w:r>
          </w:p>
          <w:p>
            <w:pPr>
              <w:numPr>
                <w:ilvl w:val="0"/>
                <w:numId w:val="0"/>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煎药产生的废气执行《恶臭污染物排放标准》(GB14554-93)表1新改扩建二级恶臭污染物厂界标准值。</w:t>
            </w:r>
          </w:p>
          <w:p>
            <w:pPr>
              <w:numPr>
                <w:ilvl w:val="0"/>
                <w:numId w:val="0"/>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2、营运期的废水主要为生活污水、医疗废水(门诊废水、病房废水、化验废水、手术废水)、煎药罐清洗废水、地面保洁废水。本项目一体化污水处理设施采用“格栅+水解酸化+A/0+次氯酸钠消毒”处理工艺，设计处理能力14m'/d。各类污水应全部收集，经化粪池沉淀预处理和一体化污水处理设施处理，确保水污染物排放浓度限值达到《山东省医疗机构污染物排放控制标准》(DB37/596-2020)表1二级标准的要求，并满足《污水排入城镇下水道水质标准》(GB/T31962-2015)A等级标准后，通过市政污水管网排入城市污水处理厂。污水处理设施、危废暂存间、事故应急水池、化粪池、污水管网等要按照报告表中的要求，采取防渗漏措施，防止污染土壤和地下水。</w:t>
            </w:r>
          </w:p>
          <w:p>
            <w:pPr>
              <w:numPr>
                <w:ilvl w:val="0"/>
                <w:numId w:val="0"/>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3、本项目供暖采用城市集中供热、制冷使用中央空调。各类声源应选用低噪声设备并合理布局，同时采取消音、隔声、减震等降噪措施，厂界环境噪声排放限值不得超过《工业企业厂界环境噪声排放标准》(GB12348--2008)表1中1类标准的排放限值。</w:t>
            </w:r>
          </w:p>
          <w:p>
            <w:pPr>
              <w:numPr>
                <w:ilvl w:val="0"/>
                <w:numId w:val="0"/>
              </w:numPr>
              <w:spacing w:line="360" w:lineRule="auto"/>
              <w:ind w:firstLine="480" w:firstLineChars="200"/>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4、运营期的固体废物包括一般固体废物、危险废物及生活垃圾。一般固体废物包括未被污染的包装材料、塑料(玻璃)输液瓶(袋)、药渣等。危险废物主要包括医疗废物、废紫外灯管、化粪池污泥、污水处理栅渣及污泥。危险废物的收集、贮存等须满足《危险废物贮存污染控制标准》(GB18597-2001)及2013年修改单和《山东省医疗机构污染物排放控制标准》(D37/596-2020)的要求。危险废物应按规定委托有资质的单位进行处理处置，并严格执行转移联单等管理制度。一般固体废物收集后外售。生活垃圾、药渣委托城市管理部门收集处置。</w:t>
            </w:r>
          </w:p>
          <w:p>
            <w:pPr>
              <w:numPr>
                <w:ilvl w:val="0"/>
                <w:numId w:val="0"/>
              </w:num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4"/>
                <w:lang w:eastAsia="zh-CN"/>
              </w:rPr>
              <w:t>5、本项目不需要设置大气环境防护距离。</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严格落实环境风险防范措施。建设单位应当对施工期、运营期的环保设施与生产设施开展安全风险辩识管理，制定突发环境应急预案，采取切实可行的事故应急和风险防范措施，防止突发性环境污染事故的发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7、本项目设置的放辐射类设备，需按规定另行办理环保审批手续。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项目建设必须严格执行环境保护设施与主体工程同时设计、同时施工、同时投用的“三同时”制度。本项目实际排放污染物之前，须依法申领、变更排污许可证或进行排污登记。项目竣工后，按规定进行竣工环境保护验收，经验收合格后方可正式投入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五、你单位应当按照环境保护设施的设计要求和排污许可证规定的排放要求，制定完善环境保护管理制度和操作规程，并保障环境保护设施正常运行。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六、要按照环保部《建设项目环境影响评价信息公开机制方案》的要求，公开项目建设前、施工过程中和建成后等环评信息。</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七、本项目的性质、规模、地点、采用的生产工艺或者防治污染、防止生态破坏的措施发生重大变动的，你单位应重新报批建设项目的环境影响评价文件。自本批复批准之日起超过五年，方决定开工建设时，环境影响评价文件应重新报我局审核。</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八、请济南市生态环境保护综合行政执法支队历下大队加强对该项目的日常监督管理。</w:t>
            </w:r>
          </w:p>
          <w:p>
            <w:pPr>
              <w:pStyle w:val="2"/>
              <w:spacing w:line="360" w:lineRule="auto"/>
              <w:ind w:firstLine="480" w:firstLineChars="200"/>
            </w:pPr>
          </w:p>
          <w:p>
            <w:pPr>
              <w:pStyle w:val="2"/>
              <w:spacing w:line="360" w:lineRule="auto"/>
              <w:ind w:firstLine="480" w:firstLineChars="200"/>
            </w:pPr>
          </w:p>
        </w:tc>
      </w:tr>
    </w:tbl>
    <w:p>
      <w:pPr>
        <w:pStyle w:val="4"/>
        <w:spacing w:before="0" w:after="0" w:line="360" w:lineRule="auto"/>
        <w:jc w:val="left"/>
        <w:rPr>
          <w:rFonts w:ascii="Times New Roman" w:hAnsi="Times New Roman" w:cs="Times New Roman"/>
          <w:color w:val="000000" w:themeColor="text1"/>
          <w:sz w:val="28"/>
          <w:szCs w:val="28"/>
          <w14:textFill>
            <w14:solidFill>
              <w14:schemeClr w14:val="tx1"/>
            </w14:solidFill>
          </w14:textFill>
        </w:rPr>
      </w:pPr>
      <w:bookmarkStart w:id="6" w:name="_Toc491175620"/>
      <w:bookmarkStart w:id="7" w:name="_Toc516087077"/>
      <w:r>
        <w:rPr>
          <w:rFonts w:ascii="Times New Roman" w:hAnsi="Times New Roman" w:cs="Times New Roman"/>
          <w:color w:val="000000" w:themeColor="text1"/>
          <w:sz w:val="28"/>
          <w:szCs w:val="28"/>
          <w14:textFill>
            <w14:solidFill>
              <w14:schemeClr w14:val="tx1"/>
            </w14:solidFill>
          </w14:textFill>
        </w:rPr>
        <w:t>表</w:t>
      </w:r>
      <w:bookmarkEnd w:id="6"/>
      <w:r>
        <w:rPr>
          <w:rFonts w:ascii="Times New Roman" w:hAnsi="Times New Roman" w:cs="Times New Roman"/>
          <w:color w:val="000000" w:themeColor="text1"/>
          <w:sz w:val="28"/>
          <w:szCs w:val="28"/>
          <w14:textFill>
            <w14:solidFill>
              <w14:schemeClr w14:val="tx1"/>
            </w14:solidFill>
          </w14:textFill>
        </w:rPr>
        <w:t>五</w:t>
      </w:r>
      <w:r>
        <w:rPr>
          <w:rFonts w:hint="eastAsia" w:ascii="Times New Roman" w:hAnsi="Times New Roman" w:cs="Times New Roman"/>
          <w:color w:val="000000" w:themeColor="text1"/>
          <w:sz w:val="28"/>
          <w:szCs w:val="28"/>
          <w:lang w:val="en-US" w:eastAsia="zh-CN"/>
          <w14:textFill>
            <w14:solidFill>
              <w14:schemeClr w14:val="tx1"/>
            </w14:solidFill>
          </w14:textFill>
        </w:rPr>
        <w:t xml:space="preserve"> </w:t>
      </w:r>
      <w:r>
        <w:rPr>
          <w:rFonts w:ascii="Times New Roman" w:hAnsi="Times New Roman" w:eastAsia="宋体" w:cs="Times New Roman"/>
          <w:color w:val="000000" w:themeColor="text1"/>
          <w:sz w:val="28"/>
          <w:szCs w:val="28"/>
          <w14:textFill>
            <w14:solidFill>
              <w14:schemeClr w14:val="tx1"/>
            </w14:solidFill>
          </w14:textFill>
        </w:rPr>
        <w:t>验收监测质量保证及质量控制</w:t>
      </w:r>
      <w:bookmarkEnd w:id="7"/>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173" w:hRule="atLeast"/>
          <w:jc w:val="center"/>
        </w:trPr>
        <w:tc>
          <w:tcPr>
            <w:tcW w:w="5000" w:type="pct"/>
          </w:tcPr>
          <w:p>
            <w:pPr>
              <w:spacing w:beforeLines="20" w:line="36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验收监测质量保证及质量控制：</w:t>
            </w:r>
          </w:p>
          <w:p>
            <w:pPr>
              <w:numPr>
                <w:ilvl w:val="0"/>
                <w:numId w:val="0"/>
              </w:numPr>
              <w:spacing w:beforeLines="50" w:afterLines="5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1、废气监测方法、质量保证和质量控制</w:t>
            </w:r>
          </w:p>
          <w:p>
            <w:pPr>
              <w:spacing w:line="360" w:lineRule="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（1）废气监测分析方法</w:t>
            </w:r>
          </w:p>
          <w:p>
            <w:pPr>
              <w:pStyle w:val="23"/>
              <w:ind w:firstLine="480" w:firstLineChars="20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本项目验收监测分析方法及检出限见表5-1。</w:t>
            </w:r>
          </w:p>
          <w:p>
            <w:pPr>
              <w:pStyle w:val="50"/>
              <w:bidi w:val="0"/>
            </w:pPr>
            <w:r>
              <w:t>表5-1废气监测分析方法一览表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211"/>
              <w:gridCol w:w="4491"/>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污染源类别</w:t>
                  </w:r>
                </w:p>
              </w:tc>
              <w:tc>
                <w:tcPr>
                  <w:tcW w:w="730"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270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分析方法</w:t>
                  </w:r>
                </w:p>
              </w:tc>
              <w:tc>
                <w:tcPr>
                  <w:tcW w:w="77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无组织废气</w:t>
                  </w:r>
                </w:p>
              </w:tc>
              <w:tc>
                <w:tcPr>
                  <w:tcW w:w="730"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氨</w:t>
                  </w:r>
                </w:p>
              </w:tc>
              <w:tc>
                <w:tcPr>
                  <w:tcW w:w="270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HJ533-2009环境空气和废气 氨的测定 纳氏试剂分光光度法</w:t>
                  </w:r>
                </w:p>
              </w:tc>
              <w:tc>
                <w:tcPr>
                  <w:tcW w:w="77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0.01mg/m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88" w:type="pct"/>
                  <w:vMerge w:val="continue"/>
                  <w:vAlign w:val="center"/>
                </w:tcPr>
                <w:p>
                  <w:pPr>
                    <w:jc w:val="center"/>
                    <w:rPr>
                      <w:rFonts w:hint="default" w:ascii="Times New Roman" w:hAnsi="Times New Roman" w:cs="Times New Roman"/>
                      <w:sz w:val="21"/>
                      <w:szCs w:val="21"/>
                    </w:rPr>
                  </w:pPr>
                </w:p>
              </w:tc>
              <w:tc>
                <w:tcPr>
                  <w:tcW w:w="730"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硫化氢</w:t>
                  </w:r>
                </w:p>
              </w:tc>
              <w:tc>
                <w:tcPr>
                  <w:tcW w:w="270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《空气和废气监测分析方法》第四版(增补版）亚甲蓝分光光度法</w:t>
                  </w:r>
                </w:p>
              </w:tc>
              <w:tc>
                <w:tcPr>
                  <w:tcW w:w="77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0.001mg/m</w:t>
                  </w:r>
                  <w:r>
                    <w:rPr>
                      <w:rFonts w:hint="default" w:ascii="Times New Roman" w:hAnsi="Times New Roman" w:cs="Times New Roman"/>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88" w:type="pct"/>
                  <w:vMerge w:val="continue"/>
                  <w:vAlign w:val="center"/>
                </w:tcPr>
                <w:p>
                  <w:pPr>
                    <w:jc w:val="center"/>
                    <w:rPr>
                      <w:rFonts w:hint="default" w:ascii="Times New Roman" w:hAnsi="Times New Roman" w:cs="Times New Roman"/>
                      <w:sz w:val="21"/>
                      <w:szCs w:val="21"/>
                    </w:rPr>
                  </w:pPr>
                </w:p>
              </w:tc>
              <w:tc>
                <w:tcPr>
                  <w:tcW w:w="730"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臭气浓度</w:t>
                  </w:r>
                </w:p>
              </w:tc>
              <w:tc>
                <w:tcPr>
                  <w:tcW w:w="270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GB/T 14675-1993空气质量 恶臭的测定 三点比较式臭袋法</w:t>
                  </w:r>
                </w:p>
              </w:tc>
              <w:tc>
                <w:tcPr>
                  <w:tcW w:w="77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bl>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（2）质量控制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废气监测质量保证按照原国家环保总局发布的《环境监测技术规范》和《环境空气质量控制保证手册》的要求与规定进行全过程质量控制。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验收监测中及时了解工况情况，确保监测过程中工况符合满足有关要求；合理布置监测点位，确保各监测点位布置的科学性和可比性；监测分析方法采用国家有关部门颁布的标准（或推荐）分析方法，监测人员经过考核并持有合格证书；监测数据严格执行复核审核制度。</w:t>
            </w:r>
          </w:p>
          <w:p>
            <w:pPr>
              <w:numPr>
                <w:ilvl w:val="0"/>
                <w:numId w:val="0"/>
              </w:numPr>
              <w:spacing w:beforeLines="50" w:afterLines="5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lang w:val="en-US" w:eastAsia="zh-CN"/>
              </w:rPr>
              <w:t>2</w:t>
            </w:r>
            <w:r>
              <w:rPr>
                <w:rFonts w:hint="default" w:ascii="Times New Roman" w:hAnsi="Times New Roman" w:eastAsia="宋体" w:cs="Times New Roman"/>
                <w:b/>
                <w:color w:val="000000"/>
                <w:sz w:val="24"/>
                <w:szCs w:val="24"/>
              </w:rPr>
              <w:t>、废水监测方法、质量保证和质量控制</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（1）废水监测分析方法</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本项目验收监测分析方法及检出限见表5-</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w:t>
            </w:r>
          </w:p>
          <w:p>
            <w:pPr>
              <w:pStyle w:val="50"/>
              <w:bidi w:val="0"/>
            </w:pPr>
            <w:r>
              <w:t>表5-</w:t>
            </w:r>
            <w:r>
              <w:rPr>
                <w:rFonts w:hint="eastAsia" w:eastAsia="宋体"/>
                <w:lang w:val="en-US" w:eastAsia="zh-CN"/>
              </w:rPr>
              <w:t>2</w:t>
            </w:r>
            <w:r>
              <w:t>废</w:t>
            </w:r>
            <w:r>
              <w:rPr>
                <w:rFonts w:hint="eastAsia"/>
              </w:rPr>
              <w:t>水</w:t>
            </w:r>
            <w:r>
              <w:t>监测分析方法一览表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1224"/>
              <w:gridCol w:w="4486"/>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1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污染源类别</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分析方法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4" w:type="pct"/>
                  <w:vMerge w:val="restar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pH值</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HJ 1147-2020水质 pH值的测定 电极法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14" w:type="pct"/>
                  <w:vMerge w:val="continue"/>
                  <w:vAlign w:val="center"/>
                </w:tcPr>
                <w:p>
                  <w:pPr>
                    <w:jc w:val="center"/>
                    <w:rPr>
                      <w:rFonts w:hint="default" w:ascii="Times New Roman" w:hAnsi="Times New Roman" w:cs="Times New Roman"/>
                      <w:sz w:val="21"/>
                      <w:szCs w:val="21"/>
                    </w:rPr>
                  </w:pP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COD</w:t>
                  </w:r>
                  <w:r>
                    <w:rPr>
                      <w:rFonts w:hint="default" w:ascii="Times New Roman" w:hAnsi="Times New Roman" w:cs="Times New Roman"/>
                      <w:sz w:val="21"/>
                      <w:szCs w:val="21"/>
                      <w:vertAlign w:val="subscript"/>
                    </w:rPr>
                    <w:t>Cr</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HJ 828-2017 水质 化学需氧量的测定 重铬酸盐法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14" w:type="pct"/>
                  <w:vMerge w:val="continue"/>
                  <w:vAlign w:val="center"/>
                </w:tcPr>
                <w:p>
                  <w:pPr>
                    <w:jc w:val="center"/>
                    <w:rPr>
                      <w:rFonts w:hint="default" w:ascii="Times New Roman" w:hAnsi="Times New Roman" w:cs="Times New Roman"/>
                      <w:sz w:val="21"/>
                      <w:szCs w:val="21"/>
                    </w:rPr>
                  </w:pP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HJ 535-2009水质 氨氮的测定 纳氏试剂分光光度法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4" w:type="pct"/>
                  <w:vMerge w:val="continue"/>
                  <w:vAlign w:val="center"/>
                </w:tcPr>
                <w:p>
                  <w:pPr>
                    <w:jc w:val="center"/>
                    <w:rPr>
                      <w:rFonts w:hint="default" w:ascii="Times New Roman" w:hAnsi="Times New Roman" w:cs="Times New Roman"/>
                      <w:sz w:val="21"/>
                      <w:szCs w:val="21"/>
                    </w:rPr>
                  </w:pP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悬浮物</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GB/T 11901-1989水质 悬浮物的测定 重量法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14" w:type="pct"/>
                  <w:vMerge w:val="continue"/>
                  <w:vAlign w:val="center"/>
                </w:tcPr>
                <w:p>
                  <w:pPr>
                    <w:jc w:val="center"/>
                    <w:rPr>
                      <w:rFonts w:hint="default" w:ascii="Times New Roman" w:hAnsi="Times New Roman" w:cs="Times New Roman"/>
                      <w:sz w:val="21"/>
                      <w:szCs w:val="21"/>
                    </w:rPr>
                  </w:pPr>
                </w:p>
              </w:tc>
              <w:tc>
                <w:tcPr>
                  <w:tcW w:w="738" w:type="pct"/>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p>
              </w:tc>
              <w:tc>
                <w:tcPr>
                  <w:tcW w:w="2704" w:type="pct"/>
                  <w:vAlign w:val="center"/>
                </w:tcPr>
                <w:p>
                  <w:pPr>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HJ 505-2009 水质 五日生化需氧量（BOD</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lang w:val="en-US" w:eastAsia="zh-CN"/>
                    </w:rPr>
                    <w:t>）的测定 稀释与接种法</w:t>
                  </w:r>
                </w:p>
              </w:tc>
              <w:tc>
                <w:tcPr>
                  <w:tcW w:w="743" w:type="pct"/>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14" w:type="pct"/>
                  <w:vMerge w:val="continue"/>
                  <w:vAlign w:val="center"/>
                </w:tcPr>
                <w:p>
                  <w:pPr>
                    <w:jc w:val="center"/>
                    <w:rPr>
                      <w:rFonts w:hint="default" w:ascii="Times New Roman" w:hAnsi="Times New Roman" w:cs="Times New Roman"/>
                      <w:sz w:val="21"/>
                      <w:szCs w:val="21"/>
                    </w:rPr>
                  </w:pP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粪大肠菌群</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HJ 755-2015水质 总大肠菌群和粪大肠菌群的测定 纸片快速法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814" w:type="pct"/>
                  <w:vMerge w:val="continue"/>
                  <w:vAlign w:val="center"/>
                </w:tcPr>
                <w:p>
                  <w:pPr>
                    <w:jc w:val="center"/>
                    <w:rPr>
                      <w:rFonts w:hint="default" w:ascii="Times New Roman" w:hAnsi="Times New Roman" w:cs="Times New Roman"/>
                      <w:sz w:val="21"/>
                      <w:szCs w:val="21"/>
                    </w:rPr>
                  </w:pPr>
                </w:p>
              </w:tc>
              <w:tc>
                <w:tcPr>
                  <w:tcW w:w="73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总余氯</w:t>
                  </w:r>
                </w:p>
              </w:tc>
              <w:tc>
                <w:tcPr>
                  <w:tcW w:w="2704"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HJ 586-2010水质 游离氯和总氯的测定 N,N-二乙基-1,4-苯二胺分光光度法</w:t>
                  </w:r>
                </w:p>
              </w:tc>
              <w:tc>
                <w:tcPr>
                  <w:tcW w:w="74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0.03mg/L</w:t>
                  </w:r>
                </w:p>
              </w:tc>
            </w:tr>
          </w:tbl>
          <w:p>
            <w:pPr>
              <w:spacing w:line="360" w:lineRule="auto"/>
              <w:ind w:firstLine="480"/>
              <w:rPr>
                <w:rFonts w:hint="default" w:ascii="Times New Roman" w:hAnsi="Times New Roman" w:eastAsia="宋体" w:cs="Times New Roman"/>
                <w:sz w:val="24"/>
                <w:szCs w:val="24"/>
              </w:rPr>
            </w:pPr>
            <w:bookmarkStart w:id="8" w:name="_Toc22892904"/>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）废水监测分析过程中的质量保证和质量控制</w:t>
            </w:r>
            <w:bookmarkEnd w:id="8"/>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废水样品的采集、运输、保存和监测按照原国家环境保护总局《地表水和污水监测技术规范》（HJ/T 91-2002）和《环境水质监测质量保证手册》（第二版）的技术要求进行，样品采集不少于10%的平行样，测定时加不少于10%的平行样，有质控样的同时做10%的质控样。</w:t>
            </w:r>
          </w:p>
          <w:p>
            <w:pPr>
              <w:numPr>
                <w:ilvl w:val="0"/>
                <w:numId w:val="0"/>
              </w:numPr>
              <w:spacing w:beforeLines="50" w:afterLines="5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3、噪声监测方法、质量保证和质量控制</w:t>
            </w:r>
          </w:p>
          <w:p>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厂界噪声监测按《工业企业厂界环境噪声排放标准》（GB12348-2008）进行</w:t>
            </w:r>
            <w:r>
              <w:rPr>
                <w:rFonts w:hint="eastAsia" w:ascii="Times New Roman" w:hAnsi="Times New Roman" w:eastAsia="宋体" w:cs="Times New Roman"/>
                <w:sz w:val="24"/>
                <w:szCs w:val="24"/>
                <w:lang w:eastAsia="zh-CN"/>
              </w:rPr>
              <w:t>、敏感点噪声监测按照</w:t>
            </w:r>
            <w:r>
              <w:rPr>
                <w:rFonts w:hint="eastAsia" w:ascii="Times New Roman" w:hAnsi="Times New Roman" w:eastAsia="宋体" w:cs="Times New Roman"/>
                <w:color w:val="000000"/>
                <w:sz w:val="24"/>
                <w:szCs w:val="24"/>
                <w:highlight w:val="none"/>
                <w:lang w:val="en-US" w:eastAsia="zh-CN"/>
              </w:rPr>
              <w:t>《声环境质量标准》（GB 3096-2008）执行</w:t>
            </w:r>
            <w:r>
              <w:rPr>
                <w:rFonts w:hint="default" w:ascii="Times New Roman" w:hAnsi="Times New Roman" w:eastAsia="宋体" w:cs="Times New Roman"/>
                <w:sz w:val="24"/>
                <w:szCs w:val="24"/>
              </w:rPr>
              <w:t>。质量保证和质控按照国家环保局《环境监测技术规范》（噪声部分）进行。监测时使用经计量部门检定、并在有效期内的声级计分析仪。</w:t>
            </w:r>
          </w:p>
          <w:p>
            <w:pPr>
              <w:pStyle w:val="50"/>
              <w:bidi w:val="0"/>
            </w:pPr>
            <w:r>
              <w:t>表5-</w:t>
            </w:r>
            <w:r>
              <w:rPr>
                <w:rFonts w:hint="eastAsia" w:eastAsia="宋体"/>
                <w:lang w:val="en-US" w:eastAsia="zh-CN"/>
              </w:rPr>
              <w:t>3</w:t>
            </w:r>
            <w:r>
              <w:t xml:space="preserve">  噪声监测所用仪器列表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8"/>
              <w:gridCol w:w="1916"/>
              <w:gridCol w:w="1961"/>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349" w:type="pct"/>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仪器名称</w:t>
                  </w:r>
                </w:p>
              </w:tc>
              <w:tc>
                <w:tcPr>
                  <w:tcW w:w="115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仪器型号</w:t>
                  </w:r>
                </w:p>
              </w:tc>
              <w:tc>
                <w:tcPr>
                  <w:tcW w:w="11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仪器编号</w:t>
                  </w:r>
                </w:p>
              </w:tc>
              <w:tc>
                <w:tcPr>
                  <w:tcW w:w="131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349"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多功能声级计</w:t>
                  </w:r>
                </w:p>
              </w:tc>
              <w:tc>
                <w:tcPr>
                  <w:tcW w:w="1155"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AWA5688</w:t>
                  </w:r>
                </w:p>
              </w:tc>
              <w:tc>
                <w:tcPr>
                  <w:tcW w:w="118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SDZH-A02043</w:t>
                  </w:r>
                </w:p>
              </w:tc>
              <w:tc>
                <w:tcPr>
                  <w:tcW w:w="1312"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2022.07.01-2023.06.30</w:t>
                  </w:r>
                </w:p>
              </w:tc>
            </w:tr>
          </w:tbl>
          <w:p>
            <w:pPr>
              <w:adjustRightInd w:val="0"/>
              <w:snapToGrid w:val="0"/>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声级计在测试前后用标准声源进行校准，测量前后仪器的分贝值相差不大于0.5dB，若大于0.5dB测试数据无效，需重新进行监测。质量控制情况见表</w:t>
            </w:r>
            <w:r>
              <w:rPr>
                <w:rFonts w:hint="default" w:ascii="Times New Roman" w:hAnsi="Times New Roman" w:cs="Times New Roman"/>
                <w:color w:val="0000FF"/>
                <w:sz w:val="24"/>
                <w:szCs w:val="24"/>
                <w:lang w:val="en-US" w:eastAsia="zh-CN"/>
              </w:rPr>
              <w:t>5-</w:t>
            </w:r>
            <w:r>
              <w:rPr>
                <w:rFonts w:hint="eastAsia" w:ascii="Times New Roman" w:hAnsi="Times New Roman" w:cs="Times New Roman"/>
                <w:color w:val="0000FF"/>
                <w:sz w:val="24"/>
                <w:szCs w:val="24"/>
                <w:lang w:val="en-US" w:eastAsia="zh-CN"/>
              </w:rPr>
              <w:t>4</w:t>
            </w:r>
            <w:r>
              <w:rPr>
                <w:rFonts w:hint="default" w:ascii="Times New Roman" w:hAnsi="Times New Roman" w:cs="Times New Roman"/>
                <w:color w:val="0000FF"/>
                <w:sz w:val="24"/>
                <w:szCs w:val="24"/>
              </w:rPr>
              <w:t>。</w:t>
            </w:r>
          </w:p>
          <w:p>
            <w:pPr>
              <w:pStyle w:val="50"/>
              <w:bidi w:val="0"/>
              <w:rPr>
                <w:rFonts w:hint="eastAsia" w:eastAsia="宋体"/>
                <w:color w:val="0000FF"/>
                <w:lang w:val="en-US" w:eastAsia="zh-CN"/>
              </w:rPr>
            </w:pPr>
            <w:r>
              <w:rPr>
                <w:color w:val="0000FF"/>
              </w:rPr>
              <w:t>表5-</w:t>
            </w:r>
            <w:r>
              <w:rPr>
                <w:rFonts w:hint="eastAsia" w:eastAsia="宋体"/>
                <w:color w:val="0000FF"/>
                <w:lang w:val="en-US" w:eastAsia="zh-CN"/>
              </w:rPr>
              <w:t xml:space="preserve">4 </w:t>
            </w:r>
            <w:r>
              <w:rPr>
                <w:color w:val="0000FF"/>
              </w:rPr>
              <w:t xml:space="preserve"> 噪声监测</w:t>
            </w:r>
            <w:r>
              <w:rPr>
                <w:rFonts w:hint="eastAsia" w:eastAsia="宋体"/>
                <w:color w:val="0000FF"/>
                <w:lang w:eastAsia="zh-CN"/>
              </w:rPr>
              <w:t>仪器校准</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2626"/>
              <w:gridCol w:w="2236"/>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1" w:type="pct"/>
                  <w:tcBorders>
                    <w:top w:val="single" w:color="auto" w:sz="4" w:space="0"/>
                    <w:left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val="en-US" w:eastAsia="zh-CN"/>
                    </w:rPr>
                    <w:t>时间</w:t>
                  </w:r>
                </w:p>
              </w:tc>
              <w:tc>
                <w:tcPr>
                  <w:tcW w:w="2931" w:type="pct"/>
                  <w:gridSpan w:val="2"/>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声校准器</w:t>
                  </w:r>
                  <w:r>
                    <w:rPr>
                      <w:rFonts w:hint="default" w:ascii="Times New Roman" w:hAnsi="Times New Roman" w:eastAsia="宋体" w:cs="Times New Roman"/>
                      <w:bCs/>
                      <w:color w:val="0000FF"/>
                      <w:sz w:val="21"/>
                      <w:szCs w:val="21"/>
                      <w:lang w:val="en-US" w:eastAsia="zh-CN"/>
                    </w:rPr>
                    <w:t xml:space="preserve"> </w:t>
                  </w:r>
                  <w:r>
                    <w:rPr>
                      <w:rFonts w:hint="default" w:ascii="Times New Roman" w:hAnsi="Times New Roman" w:eastAsia="宋体" w:cs="Times New Roman"/>
                      <w:bCs/>
                      <w:color w:val="0000FF"/>
                      <w:sz w:val="21"/>
                      <w:szCs w:val="21"/>
                    </w:rPr>
                    <w:t>AWA602</w:t>
                  </w:r>
                  <w:r>
                    <w:rPr>
                      <w:rFonts w:hint="default" w:ascii="Times New Roman" w:hAnsi="Times New Roman" w:eastAsia="宋体" w:cs="Times New Roman"/>
                      <w:bCs/>
                      <w:color w:val="0000FF"/>
                      <w:sz w:val="21"/>
                      <w:szCs w:val="21"/>
                      <w:lang w:val="en-US" w:eastAsia="zh-CN"/>
                    </w:rPr>
                    <w:t>2</w:t>
                  </w:r>
                  <w:r>
                    <w:rPr>
                      <w:rFonts w:hint="default" w:ascii="Times New Roman" w:hAnsi="Times New Roman" w:eastAsia="宋体" w:cs="Times New Roman"/>
                      <w:bCs/>
                      <w:color w:val="0000FF"/>
                      <w:sz w:val="21"/>
                      <w:szCs w:val="21"/>
                    </w:rPr>
                    <w:t>A</w:t>
                  </w:r>
                  <w:r>
                    <w:rPr>
                      <w:rFonts w:hint="default" w:ascii="Times New Roman" w:hAnsi="Times New Roman" w:eastAsia="宋体" w:cs="Times New Roman"/>
                      <w:bCs/>
                      <w:color w:val="0000FF"/>
                      <w:sz w:val="21"/>
                      <w:szCs w:val="21"/>
                      <w:lang w:val="en-US" w:eastAsia="zh-CN"/>
                    </w:rPr>
                    <w:t xml:space="preserve">   SDZH-A02044</w:t>
                  </w:r>
                </w:p>
              </w:tc>
              <w:tc>
                <w:tcPr>
                  <w:tcW w:w="1347"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eastAsia" w:ascii="Times New Roman" w:hAnsi="Times New Roman" w:eastAsia="宋体" w:cs="Times New Roman"/>
                      <w:bCs/>
                      <w:color w:val="0000FF"/>
                      <w:sz w:val="21"/>
                      <w:szCs w:val="21"/>
                      <w:lang w:eastAsia="zh-CN"/>
                    </w:rPr>
                  </w:pPr>
                  <w:r>
                    <w:rPr>
                      <w:rFonts w:hint="eastAsia" w:ascii="Times New Roman" w:hAnsi="Times New Roman" w:eastAsia="宋体" w:cs="Times New Roman"/>
                      <w:bCs/>
                      <w:color w:val="0000FF"/>
                      <w:sz w:val="21"/>
                      <w:szCs w:val="21"/>
                      <w:lang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721" w:type="pct"/>
                  <w:tcBorders>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val="en-US" w:eastAsia="zh-CN"/>
                    </w:rPr>
                    <w:t>2023-01-13</w:t>
                  </w:r>
                </w:p>
              </w:tc>
              <w:tc>
                <w:tcPr>
                  <w:tcW w:w="1583"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测前校准：93.</w:t>
                  </w:r>
                  <w:r>
                    <w:rPr>
                      <w:rFonts w:hint="default" w:ascii="Times New Roman" w:hAnsi="Times New Roman" w:eastAsia="宋体" w:cs="Times New Roman"/>
                      <w:color w:val="0000FF"/>
                      <w:sz w:val="21"/>
                      <w:szCs w:val="21"/>
                      <w:lang w:val="en-US" w:eastAsia="zh-CN"/>
                    </w:rPr>
                    <w:t>8</w:t>
                  </w:r>
                  <w:r>
                    <w:rPr>
                      <w:rFonts w:hint="default" w:ascii="Times New Roman" w:hAnsi="Times New Roman" w:eastAsia="宋体" w:cs="Times New Roman"/>
                      <w:color w:val="0000FF"/>
                      <w:sz w:val="21"/>
                      <w:szCs w:val="21"/>
                    </w:rPr>
                    <w:t>dB（A）</w:t>
                  </w:r>
                </w:p>
              </w:tc>
              <w:tc>
                <w:tcPr>
                  <w:tcW w:w="1347"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测后校准：9</w:t>
                  </w:r>
                  <w:r>
                    <w:rPr>
                      <w:rFonts w:hint="default" w:ascii="Times New Roman" w:hAnsi="Times New Roman" w:eastAsia="宋体" w:cs="Times New Roman"/>
                      <w:color w:val="0000FF"/>
                      <w:sz w:val="21"/>
                      <w:szCs w:val="21"/>
                      <w:lang w:val="en-US" w:eastAsia="zh-CN"/>
                    </w:rPr>
                    <w:t>3.9</w:t>
                  </w:r>
                  <w:r>
                    <w:rPr>
                      <w:rFonts w:hint="default" w:ascii="Times New Roman" w:hAnsi="Times New Roman" w:eastAsia="宋体" w:cs="Times New Roman"/>
                      <w:color w:val="0000FF"/>
                      <w:sz w:val="21"/>
                      <w:szCs w:val="21"/>
                    </w:rPr>
                    <w:t>dB（A）</w:t>
                  </w:r>
                </w:p>
              </w:tc>
              <w:tc>
                <w:tcPr>
                  <w:tcW w:w="1347"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eastAsia" w:ascii="Times New Roman" w:hAnsi="Times New Roman" w:eastAsia="宋体" w:cs="Times New Roman"/>
                      <w:color w:val="0000FF"/>
                      <w:sz w:val="21"/>
                      <w:szCs w:val="21"/>
                      <w:lang w:eastAsia="zh-CN"/>
                    </w:rPr>
                  </w:pPr>
                  <w:r>
                    <w:rPr>
                      <w:rFonts w:hint="eastAsia" w:ascii="Times New Roman" w:hAnsi="Times New Roman" w:eastAsia="宋体" w:cs="Times New Roman"/>
                      <w:color w:val="0000FF"/>
                      <w:sz w:val="21"/>
                      <w:szCs w:val="21"/>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4" w:hRule="atLeast"/>
                <w:jc w:val="center"/>
              </w:trPr>
              <w:tc>
                <w:tcPr>
                  <w:tcW w:w="721" w:type="pct"/>
                  <w:tcBorders>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val="en-US" w:eastAsia="zh-CN"/>
                    </w:rPr>
                    <w:t>2023-01-14</w:t>
                  </w:r>
                </w:p>
              </w:tc>
              <w:tc>
                <w:tcPr>
                  <w:tcW w:w="1583"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测前校准：93.</w:t>
                  </w:r>
                  <w:r>
                    <w:rPr>
                      <w:rFonts w:hint="default" w:ascii="Times New Roman" w:hAnsi="Times New Roman" w:eastAsia="宋体" w:cs="Times New Roman"/>
                      <w:color w:val="0000FF"/>
                      <w:sz w:val="21"/>
                      <w:szCs w:val="21"/>
                      <w:lang w:val="en-US" w:eastAsia="zh-CN"/>
                    </w:rPr>
                    <w:t>8</w:t>
                  </w:r>
                  <w:r>
                    <w:rPr>
                      <w:rFonts w:hint="default" w:ascii="Times New Roman" w:hAnsi="Times New Roman" w:eastAsia="宋体" w:cs="Times New Roman"/>
                      <w:color w:val="0000FF"/>
                      <w:sz w:val="21"/>
                      <w:szCs w:val="21"/>
                    </w:rPr>
                    <w:t>dB（A）</w:t>
                  </w:r>
                </w:p>
              </w:tc>
              <w:tc>
                <w:tcPr>
                  <w:tcW w:w="1347"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测后校准：9</w:t>
                  </w:r>
                  <w:r>
                    <w:rPr>
                      <w:rFonts w:hint="default" w:ascii="Times New Roman" w:hAnsi="Times New Roman" w:eastAsia="宋体" w:cs="Times New Roman"/>
                      <w:color w:val="0000FF"/>
                      <w:sz w:val="21"/>
                      <w:szCs w:val="21"/>
                      <w:lang w:val="en-US" w:eastAsia="zh-CN"/>
                    </w:rPr>
                    <w:t>3.9</w:t>
                  </w:r>
                  <w:r>
                    <w:rPr>
                      <w:rFonts w:hint="default" w:ascii="Times New Roman" w:hAnsi="Times New Roman" w:eastAsia="宋体" w:cs="Times New Roman"/>
                      <w:color w:val="0000FF"/>
                      <w:sz w:val="21"/>
                      <w:szCs w:val="21"/>
                    </w:rPr>
                    <w:t>dB（A）</w:t>
                  </w:r>
                </w:p>
              </w:tc>
              <w:tc>
                <w:tcPr>
                  <w:tcW w:w="1347" w:type="pct"/>
                  <w:tcBorders>
                    <w:top w:val="single" w:color="auto" w:sz="4" w:space="0"/>
                    <w:left w:val="single" w:color="auto" w:sz="4" w:space="0"/>
                    <w:bottom w:val="single" w:color="auto" w:sz="4" w:space="0"/>
                    <w:right w:val="single" w:color="auto" w:sz="4" w:space="0"/>
                  </w:tcBorders>
                  <w:noWrap w:val="0"/>
                  <w:vAlign w:val="center"/>
                </w:tcPr>
                <w:p>
                  <w:pPr>
                    <w:spacing w:before="50" w:line="240" w:lineRule="auto"/>
                    <w:ind w:firstLine="0" w:firstLineChars="0"/>
                    <w:jc w:val="center"/>
                    <w:rPr>
                      <w:rFonts w:hint="default"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eastAsia="zh-CN"/>
                    </w:rPr>
                    <w:t>合格</w:t>
                  </w:r>
                </w:p>
              </w:tc>
            </w:tr>
          </w:tbl>
          <w:p>
            <w:pPr>
              <w:numPr>
                <w:ilvl w:val="0"/>
                <w:numId w:val="0"/>
              </w:numPr>
              <w:spacing w:beforeLines="50" w:afterLines="50"/>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4、质量控制仪器设备</w:t>
            </w:r>
          </w:p>
          <w:p>
            <w:pPr>
              <w:spacing w:line="360" w:lineRule="auto"/>
              <w:ind w:firstLine="504" w:firstLineChars="200"/>
              <w:rPr>
                <w:rFonts w:ascii="Times New Roman" w:hAnsi="Times New Roman" w:cs="Times New Roman"/>
                <w:spacing w:val="6"/>
                <w:sz w:val="24"/>
                <w:szCs w:val="24"/>
              </w:rPr>
            </w:pPr>
            <w:r>
              <w:rPr>
                <w:rFonts w:ascii="Times New Roman" w:hAnsi="Times New Roman" w:cs="Times New Roman"/>
                <w:spacing w:val="6"/>
                <w:sz w:val="24"/>
                <w:szCs w:val="24"/>
              </w:rPr>
              <w:t>尽量避免被测排放物中共存污染物因子对仪器分析的交叉干扰；被测排放物的浓度在仪器测试量程的有效范围即仪器量程的30%-70%之间。</w:t>
            </w:r>
          </w:p>
          <w:p>
            <w:pPr>
              <w:spacing w:line="360" w:lineRule="auto"/>
              <w:ind w:firstLine="504" w:firstLineChars="200"/>
              <w:rPr>
                <w:rFonts w:ascii="Times New Roman" w:hAnsi="Times New Roman" w:cs="Times New Roman"/>
                <w:spacing w:val="6"/>
                <w:sz w:val="24"/>
                <w:szCs w:val="24"/>
              </w:rPr>
            </w:pPr>
            <w:r>
              <w:rPr>
                <w:rFonts w:ascii="Times New Roman" w:hAnsi="Times New Roman" w:cs="Times New Roman"/>
                <w:spacing w:val="6"/>
                <w:sz w:val="24"/>
                <w:szCs w:val="24"/>
              </w:rPr>
              <w:t>采样仪器在进入现场前对采样器进行校核</w:t>
            </w:r>
            <w:r>
              <w:rPr>
                <w:rFonts w:hint="eastAsia" w:ascii="Times New Roman" w:hAnsi="Times New Roman" w:cs="Times New Roman"/>
                <w:spacing w:val="6"/>
                <w:sz w:val="24"/>
                <w:szCs w:val="24"/>
              </w:rPr>
              <w:t>，该设备一季度进行一次校准。</w:t>
            </w:r>
          </w:p>
          <w:p>
            <w:pPr>
              <w:spacing w:beforeLines="50" w:line="360" w:lineRule="auto"/>
              <w:jc w:val="center"/>
              <w:rPr>
                <w:rFonts w:ascii="Times New Roman" w:hAnsi="Times New Roman" w:eastAsia="宋体" w:cs="Times New Roman"/>
                <w:b/>
                <w:spacing w:val="6"/>
                <w:sz w:val="24"/>
                <w:szCs w:val="24"/>
              </w:rPr>
            </w:pPr>
            <w:r>
              <w:rPr>
                <w:rFonts w:ascii="Times New Roman" w:hAnsi="Times New Roman" w:cs="Times New Roman"/>
                <w:b/>
                <w:spacing w:val="6"/>
                <w:sz w:val="24"/>
                <w:szCs w:val="24"/>
              </w:rPr>
              <w:t>表5-</w:t>
            </w:r>
            <w:r>
              <w:rPr>
                <w:rFonts w:hint="eastAsia" w:ascii="Times New Roman" w:hAnsi="Times New Roman" w:cs="Times New Roman"/>
                <w:b/>
                <w:spacing w:val="6"/>
                <w:sz w:val="24"/>
                <w:szCs w:val="24"/>
                <w:lang w:val="en-US" w:eastAsia="zh-CN"/>
              </w:rPr>
              <w:t>5</w:t>
            </w:r>
            <w:r>
              <w:rPr>
                <w:rFonts w:ascii="Times New Roman" w:hAnsi="Times New Roman" w:cs="Times New Roman"/>
                <w:b/>
                <w:spacing w:val="6"/>
                <w:sz w:val="24"/>
                <w:szCs w:val="24"/>
              </w:rPr>
              <w:t xml:space="preserve">  主要仪器设备</w:t>
            </w:r>
            <w:r>
              <w:rPr>
                <w:rFonts w:ascii="Times New Roman" w:hAnsi="Times New Roman" w:eastAsia="宋体" w:cs="Times New Roman"/>
                <w:b/>
                <w:spacing w:val="6"/>
                <w:sz w:val="24"/>
                <w:szCs w:val="24"/>
              </w:rPr>
              <w:t>鉴定表</w:t>
            </w:r>
          </w:p>
          <w:tbl>
            <w:tblPr>
              <w:tblStyle w:val="31"/>
              <w:tblW w:w="48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1165"/>
              <w:gridCol w:w="1563"/>
              <w:gridCol w:w="227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仪器名称</w:t>
                  </w:r>
                </w:p>
              </w:tc>
              <w:tc>
                <w:tcPr>
                  <w:tcW w:w="729"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仪器型号</w:t>
                  </w:r>
                </w:p>
              </w:tc>
              <w:tc>
                <w:tcPr>
                  <w:tcW w:w="978"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仪器编号</w:t>
                  </w:r>
                </w:p>
              </w:tc>
              <w:tc>
                <w:tcPr>
                  <w:tcW w:w="1425"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校准有效期</w:t>
                  </w:r>
                </w:p>
              </w:tc>
              <w:tc>
                <w:tcPr>
                  <w:tcW w:w="687"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179" w:type="pct"/>
                  <w:noWrap w:val="0"/>
                  <w:vAlign w:val="center"/>
                </w:tcPr>
                <w:p>
                  <w:pPr>
                    <w:spacing w:beforeLines="0" w:afterLine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多功能环境检测仪</w:t>
                  </w:r>
                </w:p>
              </w:tc>
              <w:tc>
                <w:tcPr>
                  <w:tcW w:w="729" w:type="pct"/>
                  <w:noWrap w:val="0"/>
                  <w:vAlign w:val="center"/>
                </w:tcPr>
                <w:p>
                  <w:pPr>
                    <w:spacing w:beforeLines="0" w:afterLine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MS6300</w:t>
                  </w:r>
                </w:p>
              </w:tc>
              <w:tc>
                <w:tcPr>
                  <w:tcW w:w="978"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SDZH-A02003</w:t>
                  </w:r>
                </w:p>
              </w:tc>
              <w:tc>
                <w:tcPr>
                  <w:tcW w:w="1425" w:type="pct"/>
                  <w:noWrap w:val="0"/>
                  <w:vAlign w:val="center"/>
                </w:tcPr>
                <w:p>
                  <w:pPr>
                    <w:spacing w:beforeLines="0" w:afterLine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lang w:val="en-US" w:eastAsia="zh-CN"/>
                    </w:rPr>
                    <w:t>2022.05.23-2023.05.22</w:t>
                  </w:r>
                </w:p>
              </w:tc>
              <w:tc>
                <w:tcPr>
                  <w:tcW w:w="687" w:type="pct"/>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spacing w:beforeLines="0" w:afterLine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空盒气压表</w:t>
                  </w:r>
                </w:p>
              </w:tc>
              <w:tc>
                <w:tcPr>
                  <w:tcW w:w="729" w:type="pct"/>
                  <w:noWrap w:val="0"/>
                  <w:vAlign w:val="center"/>
                </w:tcPr>
                <w:p>
                  <w:pPr>
                    <w:spacing w:beforeLines="0" w:afterLine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DYM3</w:t>
                  </w:r>
                </w:p>
              </w:tc>
              <w:tc>
                <w:tcPr>
                  <w:tcW w:w="978"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SDZH-A02004</w:t>
                  </w:r>
                </w:p>
              </w:tc>
              <w:tc>
                <w:tcPr>
                  <w:tcW w:w="1425"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202</w:t>
                  </w:r>
                  <w:r>
                    <w:rPr>
                      <w:rFonts w:hint="default" w:ascii="Times New Roman" w:hAnsi="Times New Roman"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.0</w:t>
                  </w:r>
                  <w:r>
                    <w:rPr>
                      <w:rFonts w:hint="default" w:ascii="Times New Roman" w:hAnsi="Times New Roman" w:cs="Times New Roman"/>
                      <w:color w:val="000000"/>
                      <w:sz w:val="21"/>
                      <w:szCs w:val="21"/>
                      <w:lang w:val="en-US" w:eastAsia="zh-CN"/>
                    </w:rPr>
                    <w:t>5</w:t>
                  </w:r>
                  <w:r>
                    <w:rPr>
                      <w:rFonts w:hint="default" w:ascii="Times New Roman" w:hAnsi="Times New Roman" w:eastAsia="宋体" w:cs="Times New Roman"/>
                      <w:color w:val="000000"/>
                      <w:sz w:val="21"/>
                      <w:szCs w:val="21"/>
                      <w:lang w:val="en-US" w:eastAsia="zh-CN"/>
                    </w:rPr>
                    <w:t>.</w:t>
                  </w:r>
                  <w:r>
                    <w:rPr>
                      <w:rFonts w:hint="default" w:ascii="Times New Roman" w:hAnsi="Times New Roman" w:cs="Times New Roman"/>
                      <w:color w:val="000000"/>
                      <w:sz w:val="21"/>
                      <w:szCs w:val="21"/>
                      <w:lang w:val="en-US" w:eastAsia="zh-CN"/>
                    </w:rPr>
                    <w:t>31</w:t>
                  </w:r>
                  <w:r>
                    <w:rPr>
                      <w:rFonts w:hint="default" w:ascii="Times New Roman" w:hAnsi="Times New Roman" w:eastAsia="宋体" w:cs="Times New Roman"/>
                      <w:color w:val="000000"/>
                      <w:sz w:val="21"/>
                      <w:szCs w:val="21"/>
                      <w:lang w:val="en-US" w:eastAsia="zh-CN"/>
                    </w:rPr>
                    <w:t>-202</w:t>
                  </w:r>
                  <w:r>
                    <w:rPr>
                      <w:rFonts w:hint="default" w:ascii="Times New Roman" w:hAnsi="Times New Roman" w:cs="Times New Roman"/>
                      <w:color w:val="000000"/>
                      <w:sz w:val="21"/>
                      <w:szCs w:val="21"/>
                      <w:lang w:val="en-US" w:eastAsia="zh-CN"/>
                    </w:rPr>
                    <w:t>3</w:t>
                  </w:r>
                  <w:r>
                    <w:rPr>
                      <w:rFonts w:hint="default" w:ascii="Times New Roman" w:hAnsi="Times New Roman" w:eastAsia="宋体" w:cs="Times New Roman"/>
                      <w:color w:val="000000"/>
                      <w:sz w:val="21"/>
                      <w:szCs w:val="21"/>
                      <w:lang w:val="en-US" w:eastAsia="zh-CN"/>
                    </w:rPr>
                    <w:t>.05.3</w:t>
                  </w:r>
                  <w:r>
                    <w:rPr>
                      <w:rFonts w:hint="default" w:ascii="Times New Roman" w:hAnsi="Times New Roman" w:cs="Times New Roman"/>
                      <w:color w:val="000000"/>
                      <w:sz w:val="21"/>
                      <w:szCs w:val="21"/>
                      <w:lang w:val="en-US" w:eastAsia="zh-CN"/>
                    </w:rPr>
                    <w:t>0</w:t>
                  </w:r>
                </w:p>
              </w:tc>
              <w:tc>
                <w:tcPr>
                  <w:tcW w:w="687" w:type="pct"/>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spacing w:beforeLines="0" w:afterLine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rPr>
                    <w:t>多功能声级计</w:t>
                  </w:r>
                </w:p>
              </w:tc>
              <w:tc>
                <w:tcPr>
                  <w:tcW w:w="729"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AWA5688</w:t>
                  </w:r>
                </w:p>
              </w:tc>
              <w:tc>
                <w:tcPr>
                  <w:tcW w:w="978"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SDZH-A02043</w:t>
                  </w:r>
                </w:p>
              </w:tc>
              <w:tc>
                <w:tcPr>
                  <w:tcW w:w="1425" w:type="pct"/>
                  <w:noWrap w:val="0"/>
                  <w:vAlign w:val="center"/>
                </w:tcPr>
                <w:p>
                  <w:pPr>
                    <w:spacing w:beforeLines="0" w:afterLine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202</w:t>
                  </w:r>
                  <w:r>
                    <w:rPr>
                      <w:rFonts w:hint="default" w:ascii="Times New Roman" w:hAnsi="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.07.0</w:t>
                  </w:r>
                  <w:r>
                    <w:rPr>
                      <w:rFonts w:hint="default" w:ascii="Times New Roman" w:hAnsi="Times New Roman" w:cs="Times New Roman"/>
                      <w:kern w:val="0"/>
                      <w:sz w:val="21"/>
                      <w:szCs w:val="21"/>
                      <w:lang w:val="en-US" w:eastAsia="zh-CN"/>
                    </w:rPr>
                    <w:t>1</w:t>
                  </w:r>
                  <w:r>
                    <w:rPr>
                      <w:rFonts w:hint="default" w:ascii="Times New Roman" w:hAnsi="Times New Roman" w:eastAsia="宋体" w:cs="Times New Roman"/>
                      <w:kern w:val="0"/>
                      <w:sz w:val="21"/>
                      <w:szCs w:val="21"/>
                      <w:lang w:val="en-US" w:eastAsia="zh-CN"/>
                    </w:rPr>
                    <w:t>-202</w:t>
                  </w:r>
                  <w:r>
                    <w:rPr>
                      <w:rFonts w:hint="default" w:ascii="Times New Roman" w:hAnsi="Times New Roman" w:cs="Times New Roman"/>
                      <w:kern w:val="0"/>
                      <w:sz w:val="21"/>
                      <w:szCs w:val="21"/>
                      <w:lang w:val="en-US" w:eastAsia="zh-CN"/>
                    </w:rPr>
                    <w:t>3</w:t>
                  </w:r>
                  <w:r>
                    <w:rPr>
                      <w:rFonts w:hint="default" w:ascii="Times New Roman" w:hAnsi="Times New Roman" w:eastAsia="宋体" w:cs="Times New Roman"/>
                      <w:kern w:val="0"/>
                      <w:sz w:val="21"/>
                      <w:szCs w:val="21"/>
                      <w:lang w:val="en-US" w:eastAsia="zh-CN"/>
                    </w:rPr>
                    <w:t>.0</w:t>
                  </w:r>
                  <w:r>
                    <w:rPr>
                      <w:rFonts w:hint="default" w:ascii="Times New Roman" w:hAnsi="Times New Roman" w:cs="Times New Roman"/>
                      <w:kern w:val="0"/>
                      <w:sz w:val="21"/>
                      <w:szCs w:val="21"/>
                      <w:lang w:val="en-US" w:eastAsia="zh-CN"/>
                    </w:rPr>
                    <w:t>6</w:t>
                  </w:r>
                  <w:r>
                    <w:rPr>
                      <w:rFonts w:hint="default" w:ascii="Times New Roman" w:hAnsi="Times New Roman" w:eastAsia="宋体" w:cs="Times New Roman"/>
                      <w:kern w:val="0"/>
                      <w:sz w:val="21"/>
                      <w:szCs w:val="21"/>
                      <w:lang w:val="en-US" w:eastAsia="zh-CN"/>
                    </w:rPr>
                    <w:t>.</w:t>
                  </w:r>
                  <w:r>
                    <w:rPr>
                      <w:rFonts w:hint="default" w:ascii="Times New Roman" w:hAnsi="Times New Roman" w:cs="Times New Roman"/>
                      <w:kern w:val="0"/>
                      <w:sz w:val="21"/>
                      <w:szCs w:val="21"/>
                      <w:lang w:val="en-US" w:eastAsia="zh-CN"/>
                    </w:rPr>
                    <w:t>30</w:t>
                  </w:r>
                </w:p>
              </w:tc>
              <w:tc>
                <w:tcPr>
                  <w:tcW w:w="687" w:type="pct"/>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sz w:val="21"/>
                      <w:szCs w:val="21"/>
                      <w:lang w:val="en-US" w:eastAsia="zh-CN"/>
                    </w:rPr>
                    <w:t>废气VOCs采样仪</w:t>
                  </w:r>
                </w:p>
              </w:tc>
              <w:tc>
                <w:tcPr>
                  <w:tcW w:w="729" w:type="pct"/>
                  <w:vMerge w:val="restart"/>
                  <w:noWrap w:val="0"/>
                  <w:vAlign w:val="center"/>
                </w:tcPr>
                <w:p>
                  <w:pPr>
                    <w:jc w:val="center"/>
                    <w:rPr>
                      <w:rFonts w:hint="default" w:ascii="Times New Roman" w:hAnsi="Times New Roman" w:cs="Times New Roman"/>
                      <w:color w:val="000000"/>
                      <w:sz w:val="21"/>
                      <w:szCs w:val="21"/>
                    </w:rPr>
                  </w:pPr>
                  <w:r>
                    <w:rPr>
                      <w:rFonts w:hint="default" w:ascii="Times New Roman" w:hAnsi="Times New Roman" w:eastAsia="宋体" w:cs="Times New Roman"/>
                      <w:color w:val="auto"/>
                      <w:sz w:val="21"/>
                      <w:szCs w:val="21"/>
                      <w:lang w:val="en-US" w:eastAsia="zh-CN"/>
                    </w:rPr>
                    <w:t>2030-7</w:t>
                  </w:r>
                </w:p>
              </w:tc>
              <w:tc>
                <w:tcPr>
                  <w:tcW w:w="978"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SDZH-B02005          </w:t>
                  </w:r>
                </w:p>
              </w:tc>
              <w:tc>
                <w:tcPr>
                  <w:tcW w:w="1425"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687" w:type="pct"/>
                  <w:vMerge w:val="restart"/>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continue"/>
                  <w:noWrap w:val="0"/>
                  <w:vAlign w:val="top"/>
                </w:tcPr>
                <w:p>
                  <w:pPr>
                    <w:keepNext w:val="0"/>
                    <w:keepLines w:val="0"/>
                    <w:widowControl/>
                    <w:suppressLineNumbers w:val="0"/>
                    <w:jc w:val="center"/>
                    <w:textAlignment w:val="center"/>
                    <w:rPr>
                      <w:rFonts w:hint="default" w:ascii="Times New Roman" w:hAnsi="Times New Roman" w:cs="Times New Roman"/>
                      <w:color w:val="000000"/>
                      <w:sz w:val="21"/>
                      <w:szCs w:val="21"/>
                    </w:rPr>
                  </w:pPr>
                </w:p>
              </w:tc>
              <w:tc>
                <w:tcPr>
                  <w:tcW w:w="729" w:type="pct"/>
                  <w:vMerge w:val="continue"/>
                  <w:noWrap w:val="0"/>
                  <w:vAlign w:val="top"/>
                </w:tcPr>
                <w:p>
                  <w:pPr>
                    <w:jc w:val="center"/>
                    <w:rPr>
                      <w:rFonts w:hint="default" w:ascii="Times New Roman" w:hAnsi="Times New Roman" w:cs="Times New Roman"/>
                      <w:color w:val="000000"/>
                      <w:sz w:val="21"/>
                      <w:szCs w:val="21"/>
                    </w:rPr>
                  </w:pPr>
                </w:p>
              </w:tc>
              <w:tc>
                <w:tcPr>
                  <w:tcW w:w="978"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SDZH-B02010</w:t>
                  </w:r>
                </w:p>
              </w:tc>
              <w:tc>
                <w:tcPr>
                  <w:tcW w:w="1425"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687" w:type="pct"/>
                  <w:vMerge w:val="continue"/>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continue"/>
                  <w:noWrap w:val="0"/>
                  <w:vAlign w:val="top"/>
                </w:tcPr>
                <w:p>
                  <w:pPr>
                    <w:keepNext w:val="0"/>
                    <w:keepLines w:val="0"/>
                    <w:widowControl/>
                    <w:suppressLineNumbers w:val="0"/>
                    <w:jc w:val="center"/>
                    <w:textAlignment w:val="center"/>
                    <w:rPr>
                      <w:rFonts w:hint="default" w:ascii="Times New Roman" w:hAnsi="Times New Roman" w:cs="Times New Roman"/>
                      <w:color w:val="000000"/>
                      <w:sz w:val="21"/>
                      <w:szCs w:val="21"/>
                    </w:rPr>
                  </w:pPr>
                </w:p>
              </w:tc>
              <w:tc>
                <w:tcPr>
                  <w:tcW w:w="729" w:type="pct"/>
                  <w:vMerge w:val="continue"/>
                  <w:noWrap w:val="0"/>
                  <w:vAlign w:val="top"/>
                </w:tcPr>
                <w:p>
                  <w:pPr>
                    <w:jc w:val="center"/>
                    <w:rPr>
                      <w:rFonts w:hint="default" w:ascii="Times New Roman" w:hAnsi="Times New Roman" w:cs="Times New Roman"/>
                      <w:color w:val="000000"/>
                      <w:sz w:val="21"/>
                      <w:szCs w:val="21"/>
                    </w:rPr>
                  </w:pPr>
                </w:p>
              </w:tc>
              <w:tc>
                <w:tcPr>
                  <w:tcW w:w="978"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 xml:space="preserve">SDZH-B02013 </w:t>
                  </w:r>
                </w:p>
              </w:tc>
              <w:tc>
                <w:tcPr>
                  <w:tcW w:w="1425"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687" w:type="pct"/>
                  <w:vMerge w:val="continue"/>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continue"/>
                  <w:noWrap w:val="0"/>
                  <w:vAlign w:val="top"/>
                </w:tcPr>
                <w:p>
                  <w:pPr>
                    <w:keepNext w:val="0"/>
                    <w:keepLines w:val="0"/>
                    <w:widowControl/>
                    <w:suppressLineNumbers w:val="0"/>
                    <w:jc w:val="center"/>
                    <w:textAlignment w:val="center"/>
                    <w:rPr>
                      <w:rFonts w:hint="default" w:ascii="Times New Roman" w:hAnsi="Times New Roman" w:cs="Times New Roman"/>
                      <w:color w:val="000000"/>
                      <w:sz w:val="21"/>
                      <w:szCs w:val="21"/>
                    </w:rPr>
                  </w:pPr>
                </w:p>
              </w:tc>
              <w:tc>
                <w:tcPr>
                  <w:tcW w:w="729" w:type="pct"/>
                  <w:vMerge w:val="continue"/>
                  <w:noWrap w:val="0"/>
                  <w:vAlign w:val="top"/>
                </w:tcPr>
                <w:p>
                  <w:pPr>
                    <w:jc w:val="center"/>
                    <w:rPr>
                      <w:rFonts w:hint="default" w:ascii="Times New Roman" w:hAnsi="Times New Roman" w:cs="Times New Roman"/>
                      <w:color w:val="000000"/>
                      <w:sz w:val="21"/>
                      <w:szCs w:val="21"/>
                    </w:rPr>
                  </w:pPr>
                </w:p>
              </w:tc>
              <w:tc>
                <w:tcPr>
                  <w:tcW w:w="978" w:type="pct"/>
                  <w:noWrap w:val="0"/>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SDZH-B02014</w:t>
                  </w:r>
                </w:p>
              </w:tc>
              <w:tc>
                <w:tcPr>
                  <w:tcW w:w="1425"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687" w:type="pct"/>
                  <w:vMerge w:val="continue"/>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restart"/>
                  <w:noWrap w:val="0"/>
                  <w:vAlign w:val="center"/>
                </w:tcPr>
                <w:p>
                  <w:pPr>
                    <w:spacing w:beforeLines="0" w:afterLine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空气/智能TSP综合采样器</w:t>
                  </w:r>
                </w:p>
              </w:tc>
              <w:tc>
                <w:tcPr>
                  <w:tcW w:w="729" w:type="pct"/>
                  <w:vMerge w:val="restart"/>
                  <w:noWrap w:val="0"/>
                  <w:vAlign w:val="center"/>
                </w:tcPr>
                <w:p>
                  <w:pPr>
                    <w:spacing w:beforeLines="0" w:afterLine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20</w:t>
                  </w:r>
                  <w:r>
                    <w:rPr>
                      <w:rFonts w:hint="default" w:ascii="Times New Roman" w:hAnsi="Times New Roman" w:cs="Times New Roman"/>
                      <w:color w:val="000000"/>
                      <w:sz w:val="21"/>
                      <w:szCs w:val="21"/>
                      <w:lang w:val="en-US" w:eastAsia="zh-CN"/>
                    </w:rPr>
                    <w:t>30</w:t>
                  </w:r>
                </w:p>
              </w:tc>
              <w:tc>
                <w:tcPr>
                  <w:tcW w:w="978" w:type="pct"/>
                  <w:noWrap w:val="0"/>
                  <w:vAlign w:val="center"/>
                </w:tcPr>
                <w:p>
                  <w:pPr>
                    <w:spacing w:beforeLines="0" w:afterLine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SDZH-A02017</w:t>
                  </w:r>
                </w:p>
              </w:tc>
              <w:tc>
                <w:tcPr>
                  <w:tcW w:w="1425" w:type="pct"/>
                  <w:noWrap w:val="0"/>
                  <w:vAlign w:val="center"/>
                </w:tcPr>
                <w:p>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2"/>
                      <w:sz w:val="21"/>
                      <w:szCs w:val="21"/>
                      <w:lang w:val="en-US" w:eastAsia="zh-CN" w:bidi="ar-SA"/>
                    </w:rPr>
                    <w:t>2022.06.08-2023.06.07</w:t>
                  </w:r>
                </w:p>
              </w:tc>
              <w:tc>
                <w:tcPr>
                  <w:tcW w:w="687" w:type="pct"/>
                  <w:vMerge w:val="restart"/>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continue"/>
                  <w:noWrap w:val="0"/>
                  <w:vAlign w:val="top"/>
                </w:tcPr>
                <w:p>
                  <w:pPr>
                    <w:keepNext w:val="0"/>
                    <w:keepLines w:val="0"/>
                    <w:widowControl/>
                    <w:suppressLineNumbers w:val="0"/>
                    <w:jc w:val="center"/>
                    <w:textAlignment w:val="center"/>
                    <w:rPr>
                      <w:rFonts w:hint="default" w:ascii="Times New Roman" w:hAnsi="Times New Roman" w:cs="Times New Roman"/>
                      <w:color w:val="000000"/>
                      <w:sz w:val="21"/>
                      <w:szCs w:val="21"/>
                    </w:rPr>
                  </w:pPr>
                </w:p>
              </w:tc>
              <w:tc>
                <w:tcPr>
                  <w:tcW w:w="729" w:type="pct"/>
                  <w:vMerge w:val="continue"/>
                  <w:noWrap w:val="0"/>
                  <w:vAlign w:val="top"/>
                </w:tcPr>
                <w:p>
                  <w:pPr>
                    <w:jc w:val="center"/>
                    <w:rPr>
                      <w:rFonts w:hint="default" w:ascii="Times New Roman" w:hAnsi="Times New Roman" w:cs="Times New Roman"/>
                      <w:color w:val="000000"/>
                      <w:sz w:val="21"/>
                      <w:szCs w:val="21"/>
                    </w:rPr>
                  </w:pPr>
                </w:p>
              </w:tc>
              <w:tc>
                <w:tcPr>
                  <w:tcW w:w="978" w:type="pct"/>
                  <w:noWrap w:val="0"/>
                  <w:vAlign w:val="center"/>
                </w:tcPr>
                <w:p>
                  <w:pPr>
                    <w:spacing w:beforeLines="0" w:afterLines="0"/>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000000"/>
                      <w:sz w:val="21"/>
                      <w:szCs w:val="21"/>
                      <w:lang w:val="en-US" w:eastAsia="zh-CN"/>
                    </w:rPr>
                    <w:t>SDZH-A02018</w:t>
                  </w:r>
                </w:p>
              </w:tc>
              <w:tc>
                <w:tcPr>
                  <w:tcW w:w="1425" w:type="pct"/>
                  <w:noWrap w:val="0"/>
                  <w:vAlign w:val="center"/>
                </w:tcPr>
                <w:p>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2"/>
                      <w:sz w:val="21"/>
                      <w:szCs w:val="21"/>
                      <w:lang w:val="en-US" w:eastAsia="zh-CN" w:bidi="ar-SA"/>
                    </w:rPr>
                    <w:t>2022.06.08-2023.06.07</w:t>
                  </w:r>
                </w:p>
              </w:tc>
              <w:tc>
                <w:tcPr>
                  <w:tcW w:w="687" w:type="pct"/>
                  <w:vMerge w:val="continue"/>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continue"/>
                  <w:noWrap w:val="0"/>
                  <w:vAlign w:val="top"/>
                </w:tcPr>
                <w:p>
                  <w:pPr>
                    <w:keepNext w:val="0"/>
                    <w:keepLines w:val="0"/>
                    <w:widowControl/>
                    <w:suppressLineNumbers w:val="0"/>
                    <w:jc w:val="center"/>
                    <w:textAlignment w:val="center"/>
                    <w:rPr>
                      <w:rFonts w:hint="default" w:ascii="Times New Roman" w:hAnsi="Times New Roman" w:cs="Times New Roman"/>
                      <w:color w:val="000000"/>
                      <w:sz w:val="21"/>
                      <w:szCs w:val="21"/>
                    </w:rPr>
                  </w:pPr>
                </w:p>
              </w:tc>
              <w:tc>
                <w:tcPr>
                  <w:tcW w:w="729" w:type="pct"/>
                  <w:vMerge w:val="continue"/>
                  <w:noWrap w:val="0"/>
                  <w:vAlign w:val="top"/>
                </w:tcPr>
                <w:p>
                  <w:pPr>
                    <w:jc w:val="center"/>
                    <w:rPr>
                      <w:rFonts w:hint="default" w:ascii="Times New Roman" w:hAnsi="Times New Roman" w:cs="Times New Roman"/>
                      <w:color w:val="000000"/>
                      <w:sz w:val="21"/>
                      <w:szCs w:val="21"/>
                    </w:rPr>
                  </w:pPr>
                </w:p>
              </w:tc>
              <w:tc>
                <w:tcPr>
                  <w:tcW w:w="978" w:type="pct"/>
                  <w:noWrap w:val="0"/>
                  <w:vAlign w:val="center"/>
                </w:tcPr>
                <w:p>
                  <w:pPr>
                    <w:spacing w:beforeLines="0" w:afterLines="0"/>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000000"/>
                      <w:sz w:val="21"/>
                      <w:szCs w:val="21"/>
                      <w:lang w:val="en-US" w:eastAsia="zh-CN"/>
                    </w:rPr>
                    <w:t>SDZH-A02019</w:t>
                  </w:r>
                </w:p>
              </w:tc>
              <w:tc>
                <w:tcPr>
                  <w:tcW w:w="1425" w:type="pct"/>
                  <w:noWrap w:val="0"/>
                  <w:vAlign w:val="center"/>
                </w:tcPr>
                <w:p>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2"/>
                      <w:sz w:val="21"/>
                      <w:szCs w:val="21"/>
                      <w:lang w:val="en-US" w:eastAsia="zh-CN" w:bidi="ar-SA"/>
                    </w:rPr>
                    <w:t>2022.06.08-2023.06.07</w:t>
                  </w:r>
                </w:p>
              </w:tc>
              <w:tc>
                <w:tcPr>
                  <w:tcW w:w="687" w:type="pct"/>
                  <w:vMerge w:val="continue"/>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vMerge w:val="continue"/>
                  <w:noWrap w:val="0"/>
                  <w:vAlign w:val="top"/>
                </w:tcPr>
                <w:p>
                  <w:pPr>
                    <w:keepNext w:val="0"/>
                    <w:keepLines w:val="0"/>
                    <w:widowControl/>
                    <w:suppressLineNumbers w:val="0"/>
                    <w:jc w:val="center"/>
                    <w:textAlignment w:val="center"/>
                    <w:rPr>
                      <w:rFonts w:hint="default" w:ascii="Times New Roman" w:hAnsi="Times New Roman" w:cs="Times New Roman"/>
                      <w:color w:val="000000"/>
                      <w:sz w:val="21"/>
                      <w:szCs w:val="21"/>
                    </w:rPr>
                  </w:pPr>
                </w:p>
              </w:tc>
              <w:tc>
                <w:tcPr>
                  <w:tcW w:w="729" w:type="pct"/>
                  <w:vMerge w:val="continue"/>
                  <w:noWrap w:val="0"/>
                  <w:vAlign w:val="top"/>
                </w:tcPr>
                <w:p>
                  <w:pPr>
                    <w:jc w:val="center"/>
                    <w:rPr>
                      <w:rFonts w:hint="default" w:ascii="Times New Roman" w:hAnsi="Times New Roman" w:cs="Times New Roman"/>
                      <w:color w:val="000000"/>
                      <w:sz w:val="21"/>
                      <w:szCs w:val="21"/>
                    </w:rPr>
                  </w:pPr>
                </w:p>
              </w:tc>
              <w:tc>
                <w:tcPr>
                  <w:tcW w:w="978" w:type="pct"/>
                  <w:noWrap w:val="0"/>
                  <w:vAlign w:val="center"/>
                </w:tcPr>
                <w:p>
                  <w:pPr>
                    <w:spacing w:beforeLines="0" w:afterLines="0"/>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color w:val="000000"/>
                      <w:sz w:val="21"/>
                      <w:szCs w:val="21"/>
                      <w:lang w:val="en-US" w:eastAsia="zh-CN"/>
                    </w:rPr>
                    <w:t>SDZH-A02020</w:t>
                  </w:r>
                </w:p>
              </w:tc>
              <w:tc>
                <w:tcPr>
                  <w:tcW w:w="1425" w:type="pct"/>
                  <w:noWrap w:val="0"/>
                  <w:vAlign w:val="center"/>
                </w:tcPr>
                <w:p>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2"/>
                      <w:sz w:val="21"/>
                      <w:szCs w:val="21"/>
                      <w:lang w:val="en-US" w:eastAsia="zh-CN" w:bidi="ar-SA"/>
                    </w:rPr>
                    <w:t>2022.06.08-2023.06.07</w:t>
                  </w:r>
                </w:p>
              </w:tc>
              <w:tc>
                <w:tcPr>
                  <w:tcW w:w="687" w:type="pct"/>
                  <w:vMerge w:val="continue"/>
                  <w:noWrap w:val="0"/>
                  <w:vAlign w:val="center"/>
                </w:tcPr>
                <w:p>
                  <w:pPr>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综合校准仪</w:t>
                  </w:r>
                </w:p>
              </w:tc>
              <w:tc>
                <w:tcPr>
                  <w:tcW w:w="729" w:type="pct"/>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5030</w:t>
                  </w:r>
                </w:p>
              </w:tc>
              <w:tc>
                <w:tcPr>
                  <w:tcW w:w="978" w:type="pct"/>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SDZH-A02021</w:t>
                  </w:r>
                </w:p>
              </w:tc>
              <w:tc>
                <w:tcPr>
                  <w:tcW w:w="1425" w:type="pct"/>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val="en-US" w:eastAsia="zh-CN"/>
                    </w:rPr>
                    <w:t>2022.05.31-2023.05.30</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179"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分光光度计</w:t>
                  </w:r>
                </w:p>
              </w:tc>
              <w:tc>
                <w:tcPr>
                  <w:tcW w:w="729"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722S</w:t>
                  </w:r>
                </w:p>
              </w:tc>
              <w:tc>
                <w:tcPr>
                  <w:tcW w:w="978"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SDZH-A01006</w:t>
                  </w:r>
                </w:p>
              </w:tc>
              <w:tc>
                <w:tcPr>
                  <w:tcW w:w="1425" w:type="pct"/>
                  <w:noWrap w:val="0"/>
                  <w:vAlign w:val="center"/>
                </w:tcPr>
                <w:p>
                  <w:pPr>
                    <w:spacing w:beforeLines="0" w:afterLine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sz w:val="21"/>
                      <w:szCs w:val="21"/>
                      <w:lang w:val="en-US" w:eastAsia="zh-CN"/>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嗅辩设备</w:t>
                  </w:r>
                </w:p>
              </w:tc>
              <w:tc>
                <w:tcPr>
                  <w:tcW w:w="729" w:type="pct"/>
                  <w:noWrap w:val="0"/>
                  <w:vAlign w:val="center"/>
                </w:tcPr>
                <w:p>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w:t>
                  </w:r>
                </w:p>
              </w:tc>
              <w:tc>
                <w:tcPr>
                  <w:tcW w:w="978" w:type="pct"/>
                  <w:noWrap w:val="0"/>
                  <w:vAlign w:val="center"/>
                </w:tcPr>
                <w:p>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SDZH-A01031</w:t>
                  </w:r>
                </w:p>
              </w:tc>
              <w:tc>
                <w:tcPr>
                  <w:tcW w:w="1425" w:type="pct"/>
                  <w:noWrap w:val="0"/>
                  <w:vAlign w:val="center"/>
                </w:tcPr>
                <w:p>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pH计</w:t>
                  </w:r>
                </w:p>
              </w:tc>
              <w:tc>
                <w:tcPr>
                  <w:tcW w:w="729"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PH-100型</w:t>
                  </w:r>
                </w:p>
              </w:tc>
              <w:tc>
                <w:tcPr>
                  <w:tcW w:w="978"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SDZH-A02070</w:t>
                  </w:r>
                </w:p>
              </w:tc>
              <w:tc>
                <w:tcPr>
                  <w:tcW w:w="1425"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2"/>
                      <w:sz w:val="21"/>
                      <w:szCs w:val="21"/>
                      <w:lang w:val="en-US" w:eastAsia="zh-CN" w:bidi="ar-SA"/>
                    </w:rPr>
                    <w:t>2022.07.15-2023.07.14</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trPr>
              <w:tc>
                <w:tcPr>
                  <w:tcW w:w="1179"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酸式滴定管</w:t>
                  </w:r>
                </w:p>
              </w:tc>
              <w:tc>
                <w:tcPr>
                  <w:tcW w:w="729"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50ml</w:t>
                  </w:r>
                </w:p>
              </w:tc>
              <w:tc>
                <w:tcPr>
                  <w:tcW w:w="978" w:type="pct"/>
                  <w:noWrap w:val="0"/>
                  <w:vAlign w:val="center"/>
                </w:tcPr>
                <w:p>
                  <w:pPr>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2"/>
                      <w:sz w:val="21"/>
                      <w:szCs w:val="21"/>
                      <w:lang w:val="en-US" w:eastAsia="zh-CN" w:bidi="ar-SA"/>
                    </w:rPr>
                    <w:t>SDZH-B02015</w:t>
                  </w:r>
                </w:p>
              </w:tc>
              <w:tc>
                <w:tcPr>
                  <w:tcW w:w="1425"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jc w:val="center"/>
              </w:trPr>
              <w:tc>
                <w:tcPr>
                  <w:tcW w:w="1179" w:type="pct"/>
                  <w:noWrap w:val="0"/>
                  <w:vAlign w:val="center"/>
                </w:tcPr>
                <w:p>
                  <w:pPr>
                    <w:spacing w:beforeLines="0" w:afterLine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000000"/>
                      <w:sz w:val="21"/>
                      <w:szCs w:val="21"/>
                    </w:rPr>
                    <w:t>COD恒温加热器</w:t>
                  </w:r>
                </w:p>
              </w:tc>
              <w:tc>
                <w:tcPr>
                  <w:tcW w:w="729" w:type="pct"/>
                  <w:noWrap w:val="0"/>
                  <w:vAlign w:val="center"/>
                </w:tcPr>
                <w:p>
                  <w:pPr>
                    <w:spacing w:beforeLines="0" w:afterLine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000000"/>
                      <w:sz w:val="21"/>
                      <w:szCs w:val="21"/>
                    </w:rPr>
                    <w:t>JC-101</w:t>
                  </w:r>
                </w:p>
              </w:tc>
              <w:tc>
                <w:tcPr>
                  <w:tcW w:w="978" w:type="pct"/>
                  <w:noWrap w:val="0"/>
                  <w:vAlign w:val="center"/>
                </w:tcPr>
                <w:p>
                  <w:pPr>
                    <w:spacing w:beforeLines="0" w:afterLine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000000"/>
                      <w:sz w:val="21"/>
                      <w:szCs w:val="21"/>
                      <w:lang w:val="en-US" w:eastAsia="zh-CN"/>
                    </w:rPr>
                    <w:t>SDZH-A01009</w:t>
                  </w:r>
                </w:p>
              </w:tc>
              <w:tc>
                <w:tcPr>
                  <w:tcW w:w="1425"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auto"/>
                      <w:sz w:val="21"/>
                      <w:szCs w:val="21"/>
                      <w:lang w:val="en-US" w:eastAsia="zh-CN"/>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jc w:val="center"/>
              </w:trPr>
              <w:tc>
                <w:tcPr>
                  <w:tcW w:w="1179"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生化/霉菌培养箱</w:t>
                  </w:r>
                </w:p>
              </w:tc>
              <w:tc>
                <w:tcPr>
                  <w:tcW w:w="729"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SPX-150B</w:t>
                  </w:r>
                </w:p>
              </w:tc>
              <w:tc>
                <w:tcPr>
                  <w:tcW w:w="978"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SDZH-A01011</w:t>
                  </w:r>
                </w:p>
              </w:tc>
              <w:tc>
                <w:tcPr>
                  <w:tcW w:w="1425" w:type="pct"/>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sz w:val="21"/>
                      <w:szCs w:val="21"/>
                      <w:lang w:val="en-US" w:eastAsia="zh-CN"/>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9" w:hRule="atLeast"/>
                <w:jc w:val="center"/>
              </w:trPr>
              <w:tc>
                <w:tcPr>
                  <w:tcW w:w="1179"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万分之一电子天平</w:t>
                  </w:r>
                </w:p>
              </w:tc>
              <w:tc>
                <w:tcPr>
                  <w:tcW w:w="729"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rPr>
                    <w:t>FA1604</w:t>
                  </w:r>
                </w:p>
              </w:tc>
              <w:tc>
                <w:tcPr>
                  <w:tcW w:w="978" w:type="pct"/>
                  <w:noWrap w:val="0"/>
                  <w:vAlign w:val="center"/>
                </w:tcPr>
                <w:p>
                  <w:pPr>
                    <w:spacing w:beforeLines="0" w:afterLines="0"/>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 w:val="21"/>
                      <w:szCs w:val="21"/>
                      <w:lang w:val="en-US" w:eastAsia="zh-CN"/>
                    </w:rPr>
                    <w:t>SDZH-A01020</w:t>
                  </w:r>
                </w:p>
              </w:tc>
              <w:tc>
                <w:tcPr>
                  <w:tcW w:w="1425" w:type="pct"/>
                  <w:noWrap w:val="0"/>
                  <w:vAlign w:val="center"/>
                </w:tcPr>
                <w:p>
                  <w:pPr>
                    <w:spacing w:beforeLines="0" w:afterLine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sz w:val="21"/>
                      <w:szCs w:val="21"/>
                      <w:lang w:val="en-US" w:eastAsia="zh-CN"/>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2" w:hRule="atLeast"/>
                <w:jc w:val="center"/>
              </w:trPr>
              <w:tc>
                <w:tcPr>
                  <w:tcW w:w="1179" w:type="pct"/>
                  <w:noWrap w:val="0"/>
                  <w:vAlign w:val="center"/>
                </w:tcPr>
                <w:p>
                  <w:pPr>
                    <w:spacing w:beforeLines="0" w:afterLine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电热恒温培养箱</w:t>
                  </w:r>
                </w:p>
              </w:tc>
              <w:tc>
                <w:tcPr>
                  <w:tcW w:w="729" w:type="pct"/>
                  <w:noWrap w:val="0"/>
                  <w:vAlign w:val="center"/>
                </w:tcPr>
                <w:p>
                  <w:pPr>
                    <w:spacing w:beforeLines="0" w:afterLine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DH500BS</w:t>
                  </w:r>
                </w:p>
              </w:tc>
              <w:tc>
                <w:tcPr>
                  <w:tcW w:w="978" w:type="pct"/>
                  <w:noWrap w:val="0"/>
                  <w:vAlign w:val="center"/>
                </w:tcPr>
                <w:p>
                  <w:pPr>
                    <w:spacing w:beforeLines="0" w:afterLines="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SDZH-A01014</w:t>
                  </w:r>
                </w:p>
              </w:tc>
              <w:tc>
                <w:tcPr>
                  <w:tcW w:w="1425" w:type="pct"/>
                  <w:noWrap w:val="0"/>
                  <w:vAlign w:val="center"/>
                </w:tcPr>
                <w:p>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2"/>
                      <w:sz w:val="21"/>
                      <w:szCs w:val="21"/>
                      <w:lang w:val="en-US" w:eastAsia="zh-CN" w:bidi="ar-SA"/>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jc w:val="center"/>
              </w:trPr>
              <w:tc>
                <w:tcPr>
                  <w:tcW w:w="1179" w:type="pct"/>
                  <w:noWrap w:val="0"/>
                  <w:vAlign w:val="center"/>
                </w:tcPr>
                <w:p>
                  <w:pPr>
                    <w:spacing w:beforeLines="0" w:afterLine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电热恒温培养箱</w:t>
                  </w:r>
                </w:p>
              </w:tc>
              <w:tc>
                <w:tcPr>
                  <w:tcW w:w="729" w:type="pct"/>
                  <w:noWrap w:val="0"/>
                  <w:vAlign w:val="center"/>
                </w:tcPr>
                <w:p>
                  <w:pPr>
                    <w:spacing w:beforeLines="0" w:afterLine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DH500BS</w:t>
                  </w:r>
                </w:p>
              </w:tc>
              <w:tc>
                <w:tcPr>
                  <w:tcW w:w="978" w:type="pct"/>
                  <w:noWrap w:val="0"/>
                  <w:vAlign w:val="center"/>
                </w:tcPr>
                <w:p>
                  <w:pPr>
                    <w:spacing w:beforeLines="0" w:afterLines="0"/>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SDZH-A01015</w:t>
                  </w:r>
                </w:p>
              </w:tc>
              <w:tc>
                <w:tcPr>
                  <w:tcW w:w="1425" w:type="pct"/>
                  <w:noWrap w:val="0"/>
                  <w:vAlign w:val="center"/>
                </w:tcPr>
                <w:p>
                  <w:pPr>
                    <w:spacing w:beforeLines="0" w:afterLine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kern w:val="2"/>
                      <w:sz w:val="21"/>
                      <w:szCs w:val="21"/>
                      <w:lang w:val="en-US" w:eastAsia="zh-CN" w:bidi="ar-SA"/>
                    </w:rPr>
                    <w:t>2022.06.08-2023.06.07</w:t>
                  </w:r>
                </w:p>
              </w:tc>
              <w:tc>
                <w:tcPr>
                  <w:tcW w:w="687" w:type="pct"/>
                  <w:noWrap w:val="0"/>
                  <w:vAlign w:val="center"/>
                </w:tcPr>
                <w:p>
                  <w:pPr>
                    <w:jc w:val="center"/>
                    <w:rPr>
                      <w:rFonts w:hint="default" w:ascii="Times New Roman" w:hAnsi="Times New Roman" w:eastAsia="宋体" w:cs="Times New Roman"/>
                      <w:color w:val="FF0000"/>
                      <w:sz w:val="21"/>
                      <w:szCs w:val="21"/>
                    </w:rPr>
                  </w:pPr>
                </w:p>
              </w:tc>
            </w:tr>
          </w:tbl>
          <w:p>
            <w:pPr>
              <w:pStyle w:val="37"/>
              <w:rPr>
                <w:rFonts w:ascii="Times New Roman" w:hAnsi="Times New Roman" w:eastAsia="宋体" w:cs="Times New Roman"/>
                <w:b/>
                <w:spacing w:val="6"/>
                <w:sz w:val="24"/>
                <w:szCs w:val="24"/>
              </w:rPr>
            </w:pPr>
          </w:p>
          <w:p>
            <w:pPr>
              <w:pStyle w:val="37"/>
              <w:rPr>
                <w:rFonts w:ascii="Times New Roman" w:hAnsi="Times New Roman" w:eastAsia="宋体" w:cs="Times New Roman"/>
                <w:b/>
                <w:spacing w:val="6"/>
                <w:sz w:val="24"/>
                <w:szCs w:val="24"/>
              </w:rPr>
            </w:pPr>
          </w:p>
          <w:p>
            <w:pPr>
              <w:pStyle w:val="37"/>
              <w:rPr>
                <w:rFonts w:ascii="Times New Roman" w:hAnsi="Times New Roman" w:eastAsia="宋体" w:cs="Times New Roman"/>
                <w:b/>
                <w:spacing w:val="6"/>
                <w:sz w:val="24"/>
                <w:szCs w:val="24"/>
              </w:rPr>
            </w:pPr>
          </w:p>
          <w:p>
            <w:pPr>
              <w:pStyle w:val="37"/>
              <w:rPr>
                <w:rFonts w:ascii="Times New Roman" w:hAnsi="Times New Roman" w:eastAsia="宋体" w:cs="Times New Roman"/>
                <w:b/>
                <w:spacing w:val="6"/>
                <w:sz w:val="24"/>
                <w:szCs w:val="24"/>
              </w:rPr>
            </w:pPr>
          </w:p>
          <w:p>
            <w:pPr>
              <w:pStyle w:val="37"/>
            </w:pPr>
          </w:p>
        </w:tc>
      </w:tr>
    </w:tbl>
    <w:p>
      <w:pPr>
        <w:pStyle w:val="4"/>
        <w:spacing w:before="0" w:after="0" w:line="360" w:lineRule="auto"/>
        <w:jc w:val="left"/>
        <w:rPr>
          <w:rFonts w:ascii="Times New Roman" w:hAnsi="Times New Roman" w:cs="Times New Roman"/>
          <w:color w:val="000000" w:themeColor="text1"/>
          <w:sz w:val="28"/>
          <w:szCs w:val="28"/>
          <w14:textFill>
            <w14:solidFill>
              <w14:schemeClr w14:val="tx1"/>
            </w14:solidFill>
          </w14:textFill>
        </w:rPr>
      </w:pPr>
      <w:bookmarkStart w:id="9" w:name="_Toc516087078"/>
      <w:r>
        <w:rPr>
          <w:rFonts w:ascii="Times New Roman" w:hAnsi="Times New Roman" w:cs="Times New Roman"/>
          <w:color w:val="000000" w:themeColor="text1"/>
          <w:sz w:val="28"/>
          <w:szCs w:val="28"/>
          <w14:textFill>
            <w14:solidFill>
              <w14:schemeClr w14:val="tx1"/>
            </w14:solidFill>
          </w14:textFill>
        </w:rPr>
        <w:t xml:space="preserve">表六  </w:t>
      </w:r>
      <w:r>
        <w:rPr>
          <w:rFonts w:ascii="Times New Roman" w:hAnsi="Times New Roman" w:eastAsia="宋体" w:cs="Times New Roman"/>
          <w:color w:val="000000" w:themeColor="text1"/>
          <w:spacing w:val="6"/>
          <w:sz w:val="28"/>
          <w:szCs w:val="24"/>
          <w14:textFill>
            <w14:solidFill>
              <w14:schemeClr w14:val="tx1"/>
            </w14:solidFill>
          </w14:textFill>
        </w:rPr>
        <w:t>验收监测内容</w:t>
      </w:r>
      <w:bookmarkEnd w:id="9"/>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11" w:hRule="atLeast"/>
          <w:jc w:val="center"/>
        </w:trPr>
        <w:tc>
          <w:tcPr>
            <w:tcW w:w="5000" w:type="pct"/>
          </w:tcPr>
          <w:p>
            <w:pPr>
              <w:spacing w:line="360" w:lineRule="auto"/>
              <w:rPr>
                <w:rFonts w:ascii="Times New Roman" w:hAnsi="Times New Roman" w:eastAsia="宋体" w:cs="Times New Roman"/>
                <w:b/>
                <w:spacing w:val="6"/>
                <w:sz w:val="28"/>
                <w:szCs w:val="24"/>
              </w:rPr>
            </w:pPr>
            <w:r>
              <w:rPr>
                <w:rFonts w:ascii="Times New Roman" w:hAnsi="Times New Roman" w:eastAsia="宋体" w:cs="Times New Roman"/>
                <w:b/>
                <w:spacing w:val="6"/>
                <w:sz w:val="28"/>
                <w:szCs w:val="24"/>
              </w:rPr>
              <w:t>验收监测内容：</w:t>
            </w:r>
          </w:p>
          <w:p>
            <w:pPr>
              <w:spacing w:line="360" w:lineRule="auto"/>
              <w:rPr>
                <w:rFonts w:ascii="Times New Roman" w:hAnsi="Times New Roman" w:eastAsia="宋体" w:cs="Times New Roman"/>
                <w:b/>
                <w:spacing w:val="6"/>
                <w:sz w:val="24"/>
                <w:szCs w:val="24"/>
              </w:rPr>
            </w:pPr>
            <w:r>
              <w:rPr>
                <w:rFonts w:ascii="Times New Roman" w:hAnsi="Times New Roman" w:eastAsia="宋体" w:cs="Times New Roman"/>
                <w:b/>
                <w:spacing w:val="6"/>
                <w:sz w:val="24"/>
                <w:szCs w:val="24"/>
              </w:rPr>
              <w:t>一、废气监测</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1、废气验收监测执行标准</w:t>
            </w:r>
          </w:p>
          <w:p>
            <w:pPr>
              <w:spacing w:line="360" w:lineRule="auto"/>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恶臭气体执行《山东省医疗机构污染物排放控制标准》（DB37/596-2020）表2污水处理站周边大气污染物最高允许浓度限值要求（氨≤</w:t>
            </w:r>
            <w:r>
              <w:rPr>
                <w:rFonts w:hint="eastAsia" w:ascii="Times New Roman" w:hAnsi="Times New Roman" w:eastAsia="宋体" w:cs="Times New Roman"/>
                <w:sz w:val="24"/>
                <w:szCs w:val="24"/>
                <w:lang w:val="en-US" w:eastAsia="zh-CN"/>
              </w:rPr>
              <w:t>0.2</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、硫化氢≤0.0</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mg/m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、臭气浓度≤10）。详见表6-1。</w:t>
            </w:r>
          </w:p>
          <w:p>
            <w:pPr>
              <w:pStyle w:val="23"/>
              <w:rPr>
                <w:rFonts w:ascii="Times New Roman" w:hAnsi="Times New Roman" w:eastAsia="宋体" w:cs="Times New Roman"/>
              </w:rPr>
            </w:pPr>
            <w:r>
              <w:rPr>
                <w:rFonts w:ascii="Times New Roman" w:hAnsi="Times New Roman" w:eastAsia="宋体" w:cs="Times New Roman"/>
              </w:rPr>
              <w:t>表6-1  废气排放标准限值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175"/>
              <w:gridCol w:w="1453"/>
              <w:gridCol w:w="1092"/>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75"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污染物来源</w:t>
                  </w:r>
                </w:p>
              </w:tc>
              <w:tc>
                <w:tcPr>
                  <w:tcW w:w="70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项目</w:t>
                  </w:r>
                </w:p>
              </w:tc>
              <w:tc>
                <w:tcPr>
                  <w:tcW w:w="87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排放浓度（mg/m</w:t>
                  </w:r>
                  <w:r>
                    <w:rPr>
                      <w:rFonts w:hint="eastAsia" w:ascii="Times New Roman" w:hAnsi="Times New Roman" w:eastAsia="宋体" w:cs="Times New Roman"/>
                      <w:vertAlign w:val="superscript"/>
                    </w:rPr>
                    <w:t>3</w:t>
                  </w:r>
                  <w:r>
                    <w:rPr>
                      <w:rFonts w:hint="eastAsia" w:ascii="Times New Roman" w:hAnsi="Times New Roman" w:eastAsia="宋体" w:cs="Times New Roman"/>
                    </w:rPr>
                    <w:t>）</w:t>
                  </w:r>
                </w:p>
              </w:tc>
              <w:tc>
                <w:tcPr>
                  <w:tcW w:w="65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排放速率（kg/h）</w:t>
                  </w:r>
                </w:p>
              </w:tc>
              <w:tc>
                <w:tcPr>
                  <w:tcW w:w="1981"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标准代号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restart"/>
                  <w:tcBorders>
                    <w:tl2br w:val="nil"/>
                    <w:tr2bl w:val="nil"/>
                  </w:tcBorders>
                  <w:vAlign w:val="center"/>
                </w:tcPr>
                <w:p>
                  <w:pPr>
                    <w:jc w:val="both"/>
                    <w:rPr>
                      <w:rFonts w:ascii="Times New Roman" w:hAnsi="Times New Roman" w:eastAsia="宋体" w:cs="Times New Roman"/>
                    </w:rPr>
                  </w:pPr>
                  <w:r>
                    <w:rPr>
                      <w:rFonts w:hint="eastAsia" w:ascii="Times New Roman" w:hAnsi="Times New Roman" w:eastAsia="宋体" w:cs="Times New Roman"/>
                      <w:color w:val="0000FF"/>
                      <w:lang w:eastAsia="zh-CN"/>
                    </w:rPr>
                    <w:t>污水处理站</w:t>
                  </w:r>
                  <w:r>
                    <w:rPr>
                      <w:rFonts w:hint="eastAsia" w:ascii="Times New Roman" w:hAnsi="Times New Roman" w:eastAsia="宋体" w:cs="Times New Roman"/>
                      <w:color w:val="0000FF"/>
                    </w:rPr>
                    <w:t>废气</w:t>
                  </w:r>
                </w:p>
              </w:tc>
              <w:tc>
                <w:tcPr>
                  <w:tcW w:w="70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氨</w:t>
                  </w:r>
                </w:p>
              </w:tc>
              <w:tc>
                <w:tcPr>
                  <w:tcW w:w="876" w:type="pct"/>
                  <w:tcBorders>
                    <w:tl2br w:val="nil"/>
                    <w:tr2bl w:val="nil"/>
                  </w:tcBorders>
                  <w:vAlign w:val="center"/>
                </w:tcPr>
                <w:p>
                  <w:pPr>
                    <w:jc w:val="center"/>
                    <w:rPr>
                      <w:rFonts w:hint="default" w:ascii="Times New Roman" w:hAnsi="Times New Roman" w:eastAsia="宋体" w:cs="Times New Roman"/>
                      <w:lang w:val="en-US"/>
                    </w:rPr>
                  </w:pPr>
                  <w:r>
                    <w:rPr>
                      <w:rFonts w:hint="eastAsia" w:ascii="Times New Roman" w:hAnsi="Times New Roman" w:eastAsia="宋体" w:cs="Times New Roman"/>
                      <w:lang w:val="en-US" w:eastAsia="zh-CN"/>
                    </w:rPr>
                    <w:t>0.2</w:t>
                  </w:r>
                </w:p>
              </w:tc>
              <w:tc>
                <w:tcPr>
                  <w:tcW w:w="65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981" w:type="pct"/>
                  <w:vMerge w:val="restart"/>
                  <w:tcBorders>
                    <w:tl2br w:val="nil"/>
                    <w:tr2bl w:val="nil"/>
                  </w:tcBorders>
                  <w:vAlign w:val="center"/>
                </w:tcPr>
                <w:p>
                  <w:pPr>
                    <w:jc w:val="center"/>
                    <w:rPr>
                      <w:rFonts w:ascii="Times New Roman" w:hAnsi="Times New Roman" w:eastAsia="宋体" w:cs="Times New Roman"/>
                    </w:rPr>
                  </w:pPr>
                  <w:r>
                    <w:rPr>
                      <w:position w:val="2"/>
                    </w:rPr>
                    <w:t xml:space="preserve">《山东省医疗机构污染 </w:t>
                  </w:r>
                  <w:r>
                    <w:rPr>
                      <w:spacing w:val="-3"/>
                    </w:rPr>
                    <w:t>物排放控制标准》（</w:t>
                  </w:r>
                  <w:r>
                    <w:rPr>
                      <w:rFonts w:ascii="Times New Roman" w:hAnsi="Times New Roman" w:eastAsia="Times New Roman" w:cs="Times New Roman"/>
                      <w:spacing w:val="-3"/>
                    </w:rPr>
                    <w:t>DB37/596-2020</w:t>
                  </w:r>
                  <w:r>
                    <w:rPr>
                      <w:spacing w:val="-3"/>
                    </w:rPr>
                    <w:t>）表</w:t>
                  </w:r>
                  <w:r>
                    <w:rPr>
                      <w:spacing w:val="-60"/>
                    </w:rPr>
                    <w:t xml:space="preserve"> </w:t>
                  </w:r>
                  <w:r>
                    <w:rPr>
                      <w:rFonts w:ascii="Times New Roman" w:hAnsi="Times New Roman" w:eastAsia="Times New Roman" w:cs="Times New Roman"/>
                    </w:rPr>
                    <w:t xml:space="preserve">2 </w:t>
                  </w:r>
                  <w:r>
                    <w:t xml:space="preserve">污水处理站周边大气污染物最高允 </w:t>
                  </w:r>
                  <w:r>
                    <w:rPr>
                      <w:spacing w:val="-15"/>
                      <w:position w:val="2"/>
                    </w:rPr>
                    <w:t>许浓度限值要求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75" w:type="pct"/>
                  <w:vMerge w:val="continue"/>
                  <w:tcBorders>
                    <w:tl2br w:val="nil"/>
                    <w:tr2bl w:val="nil"/>
                  </w:tcBorders>
                  <w:vAlign w:val="center"/>
                </w:tcPr>
                <w:p>
                  <w:pPr>
                    <w:jc w:val="center"/>
                    <w:rPr>
                      <w:rFonts w:ascii="Times New Roman" w:hAnsi="Times New Roman" w:eastAsia="宋体" w:cs="Times New Roman"/>
                    </w:rPr>
                  </w:pPr>
                </w:p>
              </w:tc>
              <w:tc>
                <w:tcPr>
                  <w:tcW w:w="70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硫化氢</w:t>
                  </w:r>
                </w:p>
              </w:tc>
              <w:tc>
                <w:tcPr>
                  <w:tcW w:w="876" w:type="pct"/>
                  <w:tcBorders>
                    <w:tl2br w:val="nil"/>
                    <w:tr2bl w:val="nil"/>
                  </w:tcBorders>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rPr>
                    <w:t>0.0</w:t>
                  </w:r>
                  <w:r>
                    <w:rPr>
                      <w:rFonts w:hint="eastAsia" w:ascii="Times New Roman" w:hAnsi="Times New Roman" w:eastAsia="宋体" w:cs="Times New Roman"/>
                      <w:lang w:val="en-US" w:eastAsia="zh-CN"/>
                    </w:rPr>
                    <w:t>2</w:t>
                  </w:r>
                </w:p>
              </w:tc>
              <w:tc>
                <w:tcPr>
                  <w:tcW w:w="65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98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75" w:type="pct"/>
                  <w:vMerge w:val="continue"/>
                  <w:tcBorders>
                    <w:tl2br w:val="nil"/>
                    <w:tr2bl w:val="nil"/>
                  </w:tcBorders>
                  <w:vAlign w:val="center"/>
                </w:tcPr>
                <w:p>
                  <w:pPr>
                    <w:jc w:val="center"/>
                    <w:rPr>
                      <w:rFonts w:ascii="Times New Roman" w:hAnsi="Times New Roman" w:eastAsia="宋体" w:cs="Times New Roman"/>
                    </w:rPr>
                  </w:pPr>
                </w:p>
              </w:tc>
              <w:tc>
                <w:tcPr>
                  <w:tcW w:w="70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臭气浓度</w:t>
                  </w:r>
                </w:p>
              </w:tc>
              <w:tc>
                <w:tcPr>
                  <w:tcW w:w="876"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10（无量纲）</w:t>
                  </w:r>
                </w:p>
              </w:tc>
              <w:tc>
                <w:tcPr>
                  <w:tcW w:w="658" w:type="pct"/>
                  <w:tcBorders>
                    <w:tl2br w:val="nil"/>
                    <w:tr2bl w:val="nil"/>
                  </w:tcBorders>
                  <w:vAlign w:val="center"/>
                </w:tcPr>
                <w:p>
                  <w:pPr>
                    <w:jc w:val="center"/>
                    <w:rPr>
                      <w:rFonts w:ascii="Times New Roman" w:hAnsi="Times New Roman" w:eastAsia="宋体" w:cs="Times New Roman"/>
                    </w:rPr>
                  </w:pPr>
                  <w:r>
                    <w:rPr>
                      <w:rFonts w:hint="eastAsia" w:ascii="Times New Roman" w:hAnsi="Times New Roman" w:eastAsia="宋体" w:cs="Times New Roman"/>
                    </w:rPr>
                    <w:t>/</w:t>
                  </w:r>
                </w:p>
              </w:tc>
              <w:tc>
                <w:tcPr>
                  <w:tcW w:w="1981" w:type="pct"/>
                  <w:vMerge w:val="continue"/>
                  <w:tcBorders>
                    <w:tl2br w:val="nil"/>
                    <w:tr2bl w:val="nil"/>
                  </w:tcBorders>
                  <w:vAlign w:val="center"/>
                </w:tcPr>
                <w:p>
                  <w:pPr>
                    <w:jc w:val="cente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75" w:type="pct"/>
                  <w:tcBorders>
                    <w:tl2br w:val="nil"/>
                    <w:tr2bl w:val="nil"/>
                  </w:tcBorders>
                  <w:vAlign w:val="center"/>
                </w:tcPr>
                <w:p>
                  <w:pPr>
                    <w:jc w:val="both"/>
                    <w:rPr>
                      <w:rFonts w:hint="eastAsia" w:ascii="Times New Roman" w:hAnsi="Times New Roman" w:eastAsia="宋体" w:cs="Times New Roman"/>
                      <w:color w:val="0000FF"/>
                      <w:lang w:eastAsia="zh-CN"/>
                    </w:rPr>
                  </w:pPr>
                  <w:r>
                    <w:rPr>
                      <w:rFonts w:hint="eastAsia" w:ascii="Times New Roman" w:hAnsi="Times New Roman" w:eastAsia="宋体" w:cs="Times New Roman"/>
                      <w:color w:val="0000FF"/>
                      <w:lang w:eastAsia="zh-CN"/>
                    </w:rPr>
                    <w:t>厂界无组织废气</w:t>
                  </w:r>
                </w:p>
              </w:tc>
              <w:tc>
                <w:tcPr>
                  <w:tcW w:w="708" w:type="pct"/>
                  <w:tcBorders>
                    <w:tl2br w:val="nil"/>
                    <w:tr2bl w:val="nil"/>
                  </w:tcBorders>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rPr>
                    <w:t>臭气浓度</w:t>
                  </w:r>
                </w:p>
              </w:tc>
              <w:tc>
                <w:tcPr>
                  <w:tcW w:w="876" w:type="pct"/>
                  <w:tcBorders>
                    <w:tl2br w:val="nil"/>
                    <w:tr2bl w:val="nil"/>
                  </w:tcBorders>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rPr>
                    <w:t>10（无量纲）</w:t>
                  </w:r>
                </w:p>
              </w:tc>
              <w:tc>
                <w:tcPr>
                  <w:tcW w:w="658" w:type="pct"/>
                  <w:tcBorders>
                    <w:tl2br w:val="nil"/>
                    <w:tr2bl w:val="nil"/>
                  </w:tcBorders>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rPr>
                    <w:t>/</w:t>
                  </w:r>
                </w:p>
              </w:tc>
              <w:tc>
                <w:tcPr>
                  <w:tcW w:w="1981" w:type="pct"/>
                  <w:tcBorders>
                    <w:tl2br w:val="nil"/>
                    <w:tr2bl w:val="nil"/>
                  </w:tcBorders>
                  <w:vAlign w:val="center"/>
                </w:tcPr>
                <w:p>
                  <w:pPr>
                    <w:jc w:val="center"/>
                    <w:rPr>
                      <w:rFonts w:ascii="Times New Roman" w:hAnsi="Times New Roman" w:eastAsia="宋体" w:cs="Times New Roman"/>
                      <w:color w:val="0000FF"/>
                    </w:rPr>
                  </w:pPr>
                  <w:r>
                    <w:rPr>
                      <w:rFonts w:hint="eastAsia" w:ascii="Times New Roman" w:hAnsi="Times New Roman" w:eastAsia="宋体" w:cs="Times New Roman"/>
                      <w:color w:val="0000FF"/>
                      <w:lang w:val="en-US" w:eastAsia="zh-CN"/>
                    </w:rPr>
                    <w:t>《恶臭污染物排放标准》（GB14554-93）表1标准限值要求</w:t>
                  </w:r>
                </w:p>
              </w:tc>
            </w:tr>
          </w:tbl>
          <w:p>
            <w:pPr>
              <w:spacing w:beforeLines="50" w:line="360" w:lineRule="auto"/>
              <w:rPr>
                <w:rFonts w:ascii="Times New Roman" w:hAnsi="Times New Roman" w:eastAsia="宋体" w:cs="Times New Roman"/>
                <w:spacing w:val="6"/>
                <w:sz w:val="24"/>
                <w:szCs w:val="24"/>
              </w:rPr>
            </w:pPr>
            <w:r>
              <w:rPr>
                <w:rFonts w:ascii="Times New Roman" w:hAnsi="Times New Roman" w:eastAsia="宋体" w:cs="Times New Roman"/>
                <w:spacing w:val="6"/>
                <w:sz w:val="24"/>
                <w:szCs w:val="24"/>
              </w:rPr>
              <w:t>2、废气监测因子及频次</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根据</w:t>
            </w:r>
            <w:r>
              <w:rPr>
                <w:rFonts w:ascii="Times New Roman" w:hAnsi="Times New Roman" w:cs="Times New Roman"/>
                <w:sz w:val="24"/>
              </w:rPr>
              <w:t>项目</w:t>
            </w:r>
            <w:r>
              <w:rPr>
                <w:rFonts w:ascii="Times New Roman" w:hAnsi="Times New Roman" w:eastAsia="宋体" w:cs="Times New Roman"/>
                <w:sz w:val="24"/>
                <w:szCs w:val="24"/>
              </w:rPr>
              <w:t>生产工艺及产污环节等设置监测点位、监测因子，具体监测内容见表6-2。</w:t>
            </w:r>
          </w:p>
          <w:p>
            <w:pPr>
              <w:pStyle w:val="23"/>
              <w:rPr>
                <w:rFonts w:ascii="Times New Roman" w:hAnsi="Times New Roman" w:cs="Times New Roman"/>
              </w:rPr>
            </w:pPr>
            <w:r>
              <w:rPr>
                <w:rFonts w:ascii="Times New Roman" w:hAnsi="Times New Roman" w:eastAsia="宋体" w:cs="Times New Roman"/>
              </w:rPr>
              <w:t>表6-</w:t>
            </w:r>
            <w:r>
              <w:rPr>
                <w:rFonts w:ascii="Times New Roman" w:hAnsi="Times New Roman" w:cs="Times New Roman" w:eastAsiaTheme="minorEastAsia"/>
              </w:rPr>
              <w:t xml:space="preserve">2 </w:t>
            </w:r>
            <w:r>
              <w:rPr>
                <w:rFonts w:ascii="Times New Roman" w:hAnsi="Times New Roman" w:eastAsia="宋体" w:cs="Times New Roman"/>
              </w:rPr>
              <w:t>废气验收监测内容</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2040"/>
              <w:gridCol w:w="3430"/>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797"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监测类别</w:t>
                  </w:r>
                </w:p>
              </w:tc>
              <w:tc>
                <w:tcPr>
                  <w:tcW w:w="1229"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监测点位</w:t>
                  </w:r>
                </w:p>
              </w:tc>
              <w:tc>
                <w:tcPr>
                  <w:tcW w:w="2068"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监测项目</w:t>
                  </w:r>
                </w:p>
              </w:tc>
              <w:tc>
                <w:tcPr>
                  <w:tcW w:w="904"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97" w:type="pct"/>
                  <w:vMerge w:val="restart"/>
                  <w:vAlign w:val="center"/>
                </w:tcPr>
                <w:p>
                  <w:pPr>
                    <w:jc w:val="center"/>
                    <w:rPr>
                      <w:rFonts w:ascii="Times New Roman" w:hAnsi="Times New Roman" w:eastAsia="宋体" w:cs="Times New Roman"/>
                    </w:rPr>
                  </w:pPr>
                  <w:r>
                    <w:rPr>
                      <w:rFonts w:ascii="Times New Roman" w:hAnsi="Times New Roman" w:eastAsia="宋体" w:cs="Times New Roman"/>
                    </w:rPr>
                    <w:t>无组织废气</w:t>
                  </w:r>
                </w:p>
              </w:tc>
              <w:tc>
                <w:tcPr>
                  <w:tcW w:w="1229" w:type="pct"/>
                  <w:vAlign w:val="center"/>
                </w:tcPr>
                <w:p>
                  <w:pPr>
                    <w:jc w:val="center"/>
                    <w:rPr>
                      <w:rFonts w:ascii="Times New Roman" w:hAnsi="Times New Roman" w:eastAsia="宋体" w:cs="Times New Roman"/>
                    </w:rPr>
                  </w:pPr>
                  <w:r>
                    <w:rPr>
                      <w:rFonts w:hint="eastAsia" w:ascii="Times New Roman" w:hAnsi="Times New Roman" w:eastAsia="宋体" w:cs="Times New Roman"/>
                    </w:rPr>
                    <w:t>厂界上风向1个点，下风向</w:t>
                  </w:r>
                  <w:r>
                    <w:rPr>
                      <w:rFonts w:hint="eastAsia" w:ascii="Times New Roman" w:hAnsi="Times New Roman" w:eastAsia="宋体" w:cs="Times New Roman"/>
                      <w:lang w:val="en-US" w:eastAsia="zh-CN"/>
                    </w:rPr>
                    <w:t>3</w:t>
                  </w:r>
                  <w:r>
                    <w:rPr>
                      <w:rFonts w:hint="eastAsia" w:ascii="Times New Roman" w:hAnsi="Times New Roman" w:eastAsia="宋体" w:cs="Times New Roman"/>
                    </w:rPr>
                    <w:t>个点</w:t>
                  </w:r>
                </w:p>
              </w:tc>
              <w:tc>
                <w:tcPr>
                  <w:tcW w:w="2068" w:type="pct"/>
                  <w:vAlign w:val="center"/>
                </w:tcPr>
                <w:p>
                  <w:pPr>
                    <w:jc w:val="center"/>
                    <w:rPr>
                      <w:rFonts w:ascii="Times New Roman" w:hAnsi="Times New Roman" w:eastAsia="宋体" w:cs="Times New Roman"/>
                    </w:rPr>
                  </w:pPr>
                  <w:r>
                    <w:rPr>
                      <w:rFonts w:hint="eastAsia" w:ascii="Times New Roman" w:hAnsi="Times New Roman" w:eastAsia="宋体" w:cs="Times New Roman"/>
                    </w:rPr>
                    <w:t>臭气浓度</w:t>
                  </w:r>
                </w:p>
              </w:tc>
              <w:tc>
                <w:tcPr>
                  <w:tcW w:w="904" w:type="pct"/>
                  <w:vAlign w:val="center"/>
                </w:tcPr>
                <w:p>
                  <w:pPr>
                    <w:jc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次/天，监测2天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797" w:type="pct"/>
                  <w:vMerge w:val="continue"/>
                  <w:vAlign w:val="center"/>
                </w:tcPr>
                <w:p>
                  <w:pPr>
                    <w:jc w:val="center"/>
                    <w:rPr>
                      <w:rFonts w:ascii="Times New Roman" w:hAnsi="Times New Roman" w:eastAsia="宋体" w:cs="Times New Roman"/>
                    </w:rPr>
                  </w:pPr>
                </w:p>
              </w:tc>
              <w:tc>
                <w:tcPr>
                  <w:tcW w:w="1229" w:type="pct"/>
                  <w:vAlign w:val="center"/>
                </w:tcPr>
                <w:p>
                  <w:pPr>
                    <w:jc w:val="center"/>
                    <w:rPr>
                      <w:rFonts w:hint="eastAsia" w:ascii="Times New Roman" w:hAnsi="Times New Roman" w:eastAsia="宋体" w:cs="Times New Roman"/>
                      <w:color w:val="0000FF"/>
                    </w:rPr>
                  </w:pPr>
                  <w:r>
                    <w:rPr>
                      <w:rFonts w:ascii="Times New Roman" w:hAnsi="Times New Roman" w:eastAsia="Times New Roman" w:cs="Times New Roman"/>
                      <w:color w:val="0000FF"/>
                    </w:rPr>
                    <w:t xml:space="preserve"> </w:t>
                  </w:r>
                  <w:r>
                    <w:rPr>
                      <w:color w:val="0000FF"/>
                    </w:rPr>
                    <w:t>污水处理站</w:t>
                  </w:r>
                  <w:r>
                    <w:rPr>
                      <w:rFonts w:hint="eastAsia" w:ascii="Times New Roman" w:hAnsi="Times New Roman" w:eastAsia="宋体" w:cs="Times New Roman"/>
                      <w:color w:val="0000FF"/>
                    </w:rPr>
                    <w:t>上风向1个点，下风向</w:t>
                  </w:r>
                  <w:r>
                    <w:rPr>
                      <w:rFonts w:hint="eastAsia" w:ascii="Times New Roman" w:hAnsi="Times New Roman" w:eastAsia="宋体" w:cs="Times New Roman"/>
                      <w:color w:val="0000FF"/>
                      <w:lang w:val="en-US" w:eastAsia="zh-CN"/>
                    </w:rPr>
                    <w:t>3</w:t>
                  </w:r>
                  <w:r>
                    <w:rPr>
                      <w:rFonts w:hint="eastAsia" w:ascii="Times New Roman" w:hAnsi="Times New Roman" w:eastAsia="宋体" w:cs="Times New Roman"/>
                      <w:color w:val="0000FF"/>
                    </w:rPr>
                    <w:t>个点</w:t>
                  </w:r>
                </w:p>
              </w:tc>
              <w:tc>
                <w:tcPr>
                  <w:tcW w:w="2068" w:type="pct"/>
                  <w:vAlign w:val="center"/>
                </w:tcPr>
                <w:p>
                  <w:pPr>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氨、硫化氢、臭气浓度</w:t>
                  </w:r>
                </w:p>
              </w:tc>
              <w:tc>
                <w:tcPr>
                  <w:tcW w:w="904" w:type="pct"/>
                  <w:vAlign w:val="center"/>
                </w:tcPr>
                <w:p>
                  <w:pPr>
                    <w:jc w:val="center"/>
                    <w:rPr>
                      <w:rFonts w:hint="eastAsia" w:ascii="Times New Roman" w:hAnsi="Times New Roman" w:eastAsia="宋体" w:cs="Times New Roman"/>
                      <w:color w:val="0000FF"/>
                    </w:rPr>
                  </w:pPr>
                  <w:r>
                    <w:rPr>
                      <w:rFonts w:hint="eastAsia" w:ascii="Times New Roman" w:hAnsi="Times New Roman" w:eastAsia="宋体" w:cs="Times New Roman"/>
                      <w:color w:val="0000FF"/>
                    </w:rPr>
                    <w:t>4</w:t>
                  </w:r>
                  <w:r>
                    <w:rPr>
                      <w:rFonts w:ascii="Times New Roman" w:hAnsi="Times New Roman" w:eastAsia="宋体" w:cs="Times New Roman"/>
                      <w:color w:val="0000FF"/>
                    </w:rPr>
                    <w:t>次/天，监测2天</w:t>
                  </w:r>
                </w:p>
              </w:tc>
            </w:tr>
          </w:tbl>
          <w:p>
            <w:pPr>
              <w:spacing w:beforeLines="50" w:line="360" w:lineRule="auto"/>
              <w:rPr>
                <w:rFonts w:ascii="Times New Roman" w:hAnsi="Times New Roman" w:eastAsia="宋体" w:cs="Times New Roman"/>
                <w:spacing w:val="6"/>
                <w:sz w:val="24"/>
                <w:szCs w:val="24"/>
              </w:rPr>
            </w:pPr>
            <w:r>
              <w:rPr>
                <w:rFonts w:ascii="Times New Roman" w:hAnsi="Times New Roman" w:eastAsia="宋体" w:cs="Times New Roman"/>
                <w:spacing w:val="6"/>
                <w:sz w:val="24"/>
                <w:szCs w:val="24"/>
              </w:rPr>
              <w:t>3、无组织废气监测气象条件及监测布点图</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表6-3 无组织废气现场监测气象参数</w:t>
            </w:r>
          </w:p>
          <w:tbl>
            <w:tblPr>
              <w:tblStyle w:val="30"/>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1184"/>
              <w:gridCol w:w="1184"/>
              <w:gridCol w:w="1184"/>
              <w:gridCol w:w="1184"/>
              <w:gridCol w:w="1184"/>
              <w:gridCol w:w="1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监测日期</w:t>
                  </w: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时间</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天气</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气温（℃）</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气压（kPa）</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风向</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风速（m/s）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4" w:type="pct"/>
                  <w:vMerge w:val="restar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2023-01-13</w:t>
                  </w: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09:29</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-3.3</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101.7</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10:55</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-1.9</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101.5</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12:09</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-0.7</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101.4</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21:55</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-4.4</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101.9</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restar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2023-01-14</w:t>
                  </w: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09:55</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-3.1</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101.6</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11:00</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-1.8</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101.4</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12:49</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-0.5</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101.3</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13:45</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0.6</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101.1</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4" w:type="pct"/>
                  <w:vMerge w:val="continue"/>
                  <w:noWrap w:val="0"/>
                  <w:vAlign w:val="center"/>
                </w:tcPr>
                <w:p>
                  <w:pPr>
                    <w:jc w:val="center"/>
                    <w:rPr>
                      <w:rFonts w:hint="default" w:ascii="Times New Roman" w:hAnsi="Times New Roman" w:eastAsia="宋体" w:cs="Times New Roman"/>
                      <w:b w:val="0"/>
                      <w:bCs/>
                      <w:sz w:val="21"/>
                      <w:szCs w:val="21"/>
                      <w:lang w:val="en-US" w:eastAsia="zh-CN"/>
                    </w:rPr>
                  </w:pPr>
                </w:p>
              </w:tc>
              <w:tc>
                <w:tcPr>
                  <w:tcW w:w="714" w:type="pct"/>
                  <w:tcBorders>
                    <w:right w:val="single" w:color="auto" w:sz="4" w:space="0"/>
                  </w:tcBorders>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21:53</w:t>
                  </w:r>
                </w:p>
              </w:tc>
              <w:tc>
                <w:tcPr>
                  <w:tcW w:w="714" w:type="pct"/>
                  <w:tcBorders>
                    <w:left w:val="single" w:color="auto" w:sz="4" w:space="0"/>
                  </w:tcBorders>
                  <w:noWrap w:val="0"/>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阴</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-4.2</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102.0</w:t>
                  </w:r>
                </w:p>
              </w:tc>
              <w:tc>
                <w:tcPr>
                  <w:tcW w:w="714"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w:t>
                  </w:r>
                </w:p>
              </w:tc>
              <w:tc>
                <w:tcPr>
                  <w:tcW w:w="715" w:type="pct"/>
                  <w:noWrap w:val="0"/>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2.5</w:t>
                  </w:r>
                </w:p>
              </w:tc>
            </w:tr>
          </w:tbl>
          <w:p>
            <w:pPr>
              <w:pStyle w:val="2"/>
              <w:rPr>
                <w:rFonts w:ascii="Times New Roman" w:hAnsi="Times New Roman" w:cs="Times New Roman"/>
                <w:b/>
                <w:sz w:val="24"/>
                <w:szCs w:val="24"/>
              </w:rPr>
            </w:pPr>
          </w:p>
          <w:p>
            <w:pPr>
              <w:pStyle w:val="2"/>
              <w:ind w:firstLine="480" w:firstLineChars="200"/>
              <w:rPr>
                <w:rFonts w:hint="default" w:ascii="Times New Roman" w:hAnsi="Times New Roman" w:cs="Times New Roman" w:eastAsiaTheme="minorEastAsia"/>
                <w:b w:val="0"/>
                <w:bCs/>
                <w:sz w:val="24"/>
                <w:szCs w:val="24"/>
                <w:lang w:val="en-US" w:eastAsia="zh-CN"/>
              </w:rPr>
            </w:pPr>
            <w:r>
              <w:rPr>
                <w:rFonts w:hint="eastAsia" w:cs="Times New Roman"/>
                <w:b w:val="0"/>
                <w:bCs/>
                <w:sz w:val="24"/>
                <w:szCs w:val="24"/>
                <w:lang w:eastAsia="zh-CN"/>
              </w:rPr>
              <w:t>废气监测点位见图</w:t>
            </w:r>
            <w:r>
              <w:rPr>
                <w:rFonts w:hint="eastAsia" w:cs="Times New Roman"/>
                <w:b w:val="0"/>
                <w:bCs/>
                <w:sz w:val="24"/>
                <w:szCs w:val="24"/>
                <w:lang w:val="en-US" w:eastAsia="zh-CN"/>
              </w:rPr>
              <w:t>6-1.</w:t>
            </w:r>
          </w:p>
          <w:p>
            <w:pPr>
              <w:spacing w:line="360" w:lineRule="auto"/>
              <w:rPr>
                <w:rFonts w:ascii="Times New Roman" w:hAnsi="Times New Roman" w:eastAsia="宋体" w:cs="Times New Roman"/>
                <w:b/>
                <w:spacing w:val="6"/>
                <w:sz w:val="24"/>
                <w:szCs w:val="24"/>
              </w:rPr>
            </w:pPr>
            <w:r>
              <w:rPr>
                <w:rFonts w:hint="eastAsia" w:ascii="Times New Roman" w:hAnsi="Times New Roman" w:eastAsia="宋体" w:cs="Times New Roman"/>
                <w:b/>
                <w:spacing w:val="6"/>
                <w:sz w:val="24"/>
                <w:szCs w:val="24"/>
              </w:rPr>
              <w:t>二</w:t>
            </w:r>
            <w:r>
              <w:rPr>
                <w:rFonts w:ascii="Times New Roman" w:hAnsi="Times New Roman" w:eastAsia="宋体" w:cs="Times New Roman"/>
                <w:b/>
                <w:spacing w:val="6"/>
                <w:sz w:val="24"/>
                <w:szCs w:val="24"/>
              </w:rPr>
              <w:t>、</w:t>
            </w:r>
            <w:r>
              <w:rPr>
                <w:rFonts w:hint="eastAsia" w:ascii="Times New Roman" w:hAnsi="Times New Roman" w:eastAsia="宋体" w:cs="Times New Roman"/>
                <w:b/>
                <w:spacing w:val="6"/>
                <w:sz w:val="24"/>
                <w:szCs w:val="24"/>
              </w:rPr>
              <w:t>废水</w:t>
            </w:r>
            <w:r>
              <w:rPr>
                <w:rFonts w:ascii="Times New Roman" w:hAnsi="Times New Roman" w:eastAsia="宋体" w:cs="Times New Roman"/>
                <w:b/>
                <w:spacing w:val="6"/>
                <w:sz w:val="24"/>
                <w:szCs w:val="24"/>
              </w:rPr>
              <w:t>监测</w:t>
            </w:r>
          </w:p>
          <w:p>
            <w:pPr>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1、废水验收监测执行标准</w:t>
            </w:r>
          </w:p>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cs="Times New Roman"/>
                <w:sz w:val="24"/>
                <w:szCs w:val="24"/>
              </w:rPr>
              <w:t>废水执行《山东省医疗机构污染物排放控制标准》（DB37/596-2020）表1中二级标准、《污水排入城镇下水道水质标准》（GB/T31962-2015）A等级标准及光大水务（济南）有限公司一厂进水水质要求，排入市政污水管网，进入光大水务（济南）有限公司一厂进行处理</w:t>
            </w:r>
            <w:r>
              <w:rPr>
                <w:rFonts w:hint="eastAsia" w:ascii="Times New Roman" w:hAnsi="Times New Roman" w:eastAsia="宋体" w:cs="Times New Roman"/>
                <w:sz w:val="24"/>
                <w:szCs w:val="24"/>
              </w:rPr>
              <w:t>。详见表6-4。</w:t>
            </w:r>
          </w:p>
          <w:p>
            <w:pPr>
              <w:pStyle w:val="23"/>
              <w:rPr>
                <w:rFonts w:ascii="Times New Roman" w:hAnsi="Times New Roman" w:eastAsia="宋体" w:cs="Times New Roman"/>
              </w:rPr>
            </w:pPr>
            <w:r>
              <w:rPr>
                <w:rFonts w:ascii="Times New Roman" w:hAnsi="Times New Roman" w:eastAsia="宋体" w:cs="Times New Roman"/>
              </w:rPr>
              <w:t>表6-</w:t>
            </w:r>
            <w:r>
              <w:rPr>
                <w:rFonts w:hint="eastAsia" w:ascii="Times New Roman" w:hAnsi="Times New Roman" w:eastAsia="宋体" w:cs="Times New Roman"/>
              </w:rPr>
              <w:t>4</w:t>
            </w:r>
            <w:r>
              <w:rPr>
                <w:rFonts w:ascii="Times New Roman" w:hAnsi="Times New Roman" w:eastAsia="宋体" w:cs="Times New Roman"/>
              </w:rPr>
              <w:t xml:space="preserve">  废</w:t>
            </w:r>
            <w:r>
              <w:rPr>
                <w:rFonts w:hint="eastAsia" w:ascii="Times New Roman" w:hAnsi="Times New Roman" w:eastAsia="宋体" w:cs="Times New Roman"/>
              </w:rPr>
              <w:t>水</w:t>
            </w:r>
            <w:r>
              <w:rPr>
                <w:rFonts w:ascii="Times New Roman" w:hAnsi="Times New Roman" w:eastAsia="宋体" w:cs="Times New Roman"/>
              </w:rPr>
              <w:t>排放标准限值</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354"/>
              <w:gridCol w:w="2242"/>
              <w:gridCol w:w="1934"/>
              <w:gridCol w:w="1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tcBorders>
                    <w:tl2br w:val="nil"/>
                    <w:tr2bl w:val="nil"/>
                  </w:tcBorders>
                  <w:vAlign w:val="center"/>
                </w:tcPr>
                <w:p>
                  <w:pPr>
                    <w:jc w:val="center"/>
                    <w:rPr>
                      <w:rFonts w:ascii="Times New Roman" w:hAnsi="Times New Roman"/>
                    </w:rPr>
                  </w:pPr>
                  <w:r>
                    <w:rPr>
                      <w:rFonts w:hint="eastAsia" w:ascii="Times New Roman" w:hAnsi="Times New Roman"/>
                    </w:rPr>
                    <w:t>污染物来源</w:t>
                  </w:r>
                </w:p>
              </w:tc>
              <w:tc>
                <w:tcPr>
                  <w:tcW w:w="816" w:type="pct"/>
                  <w:tcBorders>
                    <w:tl2br w:val="nil"/>
                    <w:tr2bl w:val="nil"/>
                  </w:tcBorders>
                  <w:vAlign w:val="center"/>
                </w:tcPr>
                <w:p>
                  <w:pPr>
                    <w:jc w:val="center"/>
                    <w:rPr>
                      <w:rFonts w:ascii="Times New Roman" w:hAnsi="Times New Roman"/>
                    </w:rPr>
                  </w:pPr>
                  <w:r>
                    <w:rPr>
                      <w:rFonts w:hint="eastAsia" w:ascii="Times New Roman" w:hAnsi="Times New Roman"/>
                    </w:rPr>
                    <w:t>项目</w:t>
                  </w:r>
                </w:p>
              </w:tc>
              <w:tc>
                <w:tcPr>
                  <w:tcW w:w="1351" w:type="pct"/>
                  <w:tcBorders>
                    <w:tl2br w:val="nil"/>
                    <w:tr2bl w:val="nil"/>
                  </w:tcBorders>
                  <w:vAlign w:val="center"/>
                </w:tcPr>
                <w:p>
                  <w:pPr>
                    <w:jc w:val="center"/>
                    <w:rPr>
                      <w:rFonts w:hint="default" w:ascii="Times New Roman" w:hAnsi="Times New Roman" w:eastAsiaTheme="minorEastAsia"/>
                      <w:lang w:val="en-US" w:eastAsia="zh-CN"/>
                    </w:rPr>
                  </w:pPr>
                  <w:r>
                    <w:rPr>
                      <w:rFonts w:hint="eastAsia" w:ascii="Times New Roman" w:hAnsi="Times New Roman"/>
                    </w:rPr>
                    <w:t>《山东省医疗机构污染物排放控制标准》（DB37/596-2020）</w:t>
                  </w:r>
                  <w:r>
                    <w:rPr>
                      <w:rFonts w:hint="eastAsia" w:ascii="Times New Roman" w:hAnsi="Times New Roman"/>
                      <w:lang w:eastAsia="zh-CN"/>
                    </w:rPr>
                    <w:t>表</w:t>
                  </w:r>
                  <w:r>
                    <w:rPr>
                      <w:rFonts w:hint="eastAsia" w:ascii="Times New Roman" w:hAnsi="Times New Roman"/>
                      <w:lang w:val="en-US" w:eastAsia="zh-CN"/>
                    </w:rPr>
                    <w:t>1二级标准</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rPr>
                    <w:t>《污水排入城市下水道水质标准》（GB/T31962-2015）A等级标准</w:t>
                  </w:r>
                </w:p>
              </w:tc>
              <w:tc>
                <w:tcPr>
                  <w:tcW w:w="900" w:type="pct"/>
                  <w:tcBorders>
                    <w:tl2br w:val="nil"/>
                    <w:tr2bl w:val="nil"/>
                  </w:tcBorders>
                  <w:vAlign w:val="center"/>
                </w:tcPr>
                <w:p>
                  <w:pPr>
                    <w:jc w:val="center"/>
                    <w:rPr>
                      <w:rFonts w:ascii="Times New Roman" w:hAnsi="Times New Roman"/>
                    </w:rPr>
                  </w:pPr>
                  <w:r>
                    <w:rPr>
                      <w:rFonts w:hint="eastAsia" w:ascii="Times New Roman" w:hAnsi="Times New Roman"/>
                    </w:rPr>
                    <w:t>光大水务（济南）有限公司一厂进水水质要求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4" w:type="pct"/>
                  <w:vMerge w:val="restart"/>
                  <w:tcBorders>
                    <w:tl2br w:val="nil"/>
                    <w:tr2bl w:val="nil"/>
                  </w:tcBorders>
                  <w:vAlign w:val="center"/>
                </w:tcPr>
                <w:p>
                  <w:pPr>
                    <w:jc w:val="center"/>
                    <w:rPr>
                      <w:rFonts w:ascii="Times New Roman" w:hAnsi="Times New Roman"/>
                    </w:rPr>
                  </w:pPr>
                  <w:r>
                    <w:rPr>
                      <w:rFonts w:hint="eastAsia" w:ascii="Times New Roman" w:hAnsi="Times New Roman"/>
                    </w:rPr>
                    <w:t>废水</w:t>
                  </w:r>
                </w:p>
              </w:tc>
              <w:tc>
                <w:tcPr>
                  <w:tcW w:w="816" w:type="pct"/>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pH值</w:t>
                  </w:r>
                </w:p>
              </w:tc>
              <w:tc>
                <w:tcPr>
                  <w:tcW w:w="1351" w:type="pct"/>
                  <w:tcBorders>
                    <w:tl2br w:val="nil"/>
                    <w:tr2bl w:val="nil"/>
                  </w:tcBorders>
                  <w:vAlign w:val="center"/>
                </w:tcPr>
                <w:p>
                  <w:pPr>
                    <w:jc w:val="center"/>
                    <w:rPr>
                      <w:rFonts w:ascii="Times New Roman" w:hAnsi="Times New Roman"/>
                    </w:rPr>
                  </w:pPr>
                  <w:r>
                    <w:rPr>
                      <w:rFonts w:hint="eastAsia" w:ascii="Times New Roman" w:hAnsi="Times New Roman"/>
                    </w:rPr>
                    <w:t>6~9</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rPr>
                    <w:t>6.5~9.5</w:t>
                  </w:r>
                </w:p>
              </w:tc>
              <w:tc>
                <w:tcPr>
                  <w:tcW w:w="900" w:type="pct"/>
                  <w:tcBorders>
                    <w:tl2br w:val="nil"/>
                    <w:tr2bl w:val="nil"/>
                  </w:tcBorders>
                  <w:vAlign w:val="center"/>
                </w:tcPr>
                <w:p>
                  <w:pPr>
                    <w:jc w:val="center"/>
                    <w:rPr>
                      <w:rFonts w:ascii="Times New Roman" w:hAnsi="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vMerge w:val="continue"/>
                  <w:tcBorders>
                    <w:tl2br w:val="nil"/>
                    <w:tr2bl w:val="nil"/>
                  </w:tcBorders>
                  <w:vAlign w:val="center"/>
                </w:tcPr>
                <w:p>
                  <w:pPr>
                    <w:jc w:val="center"/>
                    <w:rPr>
                      <w:rFonts w:ascii="Times New Roman" w:hAnsi="Times New Roman"/>
                    </w:rPr>
                  </w:pPr>
                </w:p>
              </w:tc>
              <w:tc>
                <w:tcPr>
                  <w:tcW w:w="816" w:type="pct"/>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COD</w:t>
                  </w:r>
                  <w:r>
                    <w:rPr>
                      <w:rFonts w:hint="eastAsia" w:ascii="Times New Roman" w:hAnsi="Times New Roman" w:cs="Times New Roman"/>
                      <w:vertAlign w:val="subscript"/>
                    </w:rPr>
                    <w:t>Cr</w:t>
                  </w:r>
                </w:p>
              </w:tc>
              <w:tc>
                <w:tcPr>
                  <w:tcW w:w="1351" w:type="pct"/>
                  <w:tcBorders>
                    <w:tl2br w:val="nil"/>
                    <w:tr2bl w:val="nil"/>
                  </w:tcBorders>
                  <w:vAlign w:val="center"/>
                </w:tcPr>
                <w:p>
                  <w:pPr>
                    <w:jc w:val="center"/>
                    <w:rPr>
                      <w:rFonts w:ascii="Times New Roman" w:hAnsi="Times New Roman"/>
                    </w:rPr>
                  </w:pPr>
                  <w:r>
                    <w:rPr>
                      <w:rFonts w:hint="eastAsia" w:ascii="Times New Roman" w:hAnsi="Times New Roman"/>
                    </w:rPr>
                    <w:t>120 mg/L</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rPr>
                    <w:t>500 mg/L</w:t>
                  </w:r>
                </w:p>
              </w:tc>
              <w:tc>
                <w:tcPr>
                  <w:tcW w:w="900" w:type="pct"/>
                  <w:tcBorders>
                    <w:tl2br w:val="nil"/>
                    <w:tr2bl w:val="nil"/>
                  </w:tcBorders>
                  <w:vAlign w:val="center"/>
                </w:tcPr>
                <w:p>
                  <w:pPr>
                    <w:jc w:val="center"/>
                    <w:rPr>
                      <w:rFonts w:ascii="Times New Roman" w:hAnsi="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vMerge w:val="continue"/>
                  <w:tcBorders>
                    <w:tl2br w:val="nil"/>
                    <w:tr2bl w:val="nil"/>
                  </w:tcBorders>
                  <w:vAlign w:val="center"/>
                </w:tcPr>
                <w:p>
                  <w:pPr>
                    <w:jc w:val="center"/>
                    <w:rPr>
                      <w:rFonts w:ascii="Times New Roman" w:hAnsi="Times New Roman"/>
                    </w:rPr>
                  </w:pPr>
                </w:p>
              </w:tc>
              <w:tc>
                <w:tcPr>
                  <w:tcW w:w="816" w:type="pct"/>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氨氮</w:t>
                  </w:r>
                </w:p>
              </w:tc>
              <w:tc>
                <w:tcPr>
                  <w:tcW w:w="1351" w:type="pct"/>
                  <w:tcBorders>
                    <w:tl2br w:val="nil"/>
                    <w:tr2bl w:val="nil"/>
                  </w:tcBorders>
                  <w:vAlign w:val="center"/>
                </w:tcPr>
                <w:p>
                  <w:pPr>
                    <w:jc w:val="center"/>
                    <w:rPr>
                      <w:rFonts w:ascii="Times New Roman" w:hAnsi="Times New Roman"/>
                    </w:rPr>
                  </w:pPr>
                  <w:r>
                    <w:rPr>
                      <w:rFonts w:hint="eastAsia" w:ascii="Times New Roman" w:hAnsi="Times New Roman"/>
                    </w:rPr>
                    <w:t>25 mg/L</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rPr>
                    <w:t>45 mg/L</w:t>
                  </w:r>
                </w:p>
              </w:tc>
              <w:tc>
                <w:tcPr>
                  <w:tcW w:w="900" w:type="pct"/>
                  <w:tcBorders>
                    <w:tl2br w:val="nil"/>
                    <w:tr2bl w:val="nil"/>
                  </w:tcBorders>
                  <w:vAlign w:val="center"/>
                </w:tcPr>
                <w:p>
                  <w:pPr>
                    <w:spacing w:line="400" w:lineRule="exact"/>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vMerge w:val="continue"/>
                  <w:tcBorders>
                    <w:tl2br w:val="nil"/>
                    <w:tr2bl w:val="nil"/>
                  </w:tcBorders>
                  <w:vAlign w:val="center"/>
                </w:tcPr>
                <w:p>
                  <w:pPr>
                    <w:jc w:val="center"/>
                    <w:rPr>
                      <w:rFonts w:ascii="Times New Roman" w:hAnsi="Times New Roman"/>
                    </w:rPr>
                  </w:pPr>
                </w:p>
              </w:tc>
              <w:tc>
                <w:tcPr>
                  <w:tcW w:w="816" w:type="pct"/>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悬浮物</w:t>
                  </w:r>
                </w:p>
              </w:tc>
              <w:tc>
                <w:tcPr>
                  <w:tcW w:w="1351" w:type="pct"/>
                  <w:tcBorders>
                    <w:tl2br w:val="nil"/>
                    <w:tr2bl w:val="nil"/>
                  </w:tcBorders>
                  <w:vAlign w:val="center"/>
                </w:tcPr>
                <w:p>
                  <w:pPr>
                    <w:jc w:val="center"/>
                    <w:rPr>
                      <w:rFonts w:ascii="Times New Roman" w:hAnsi="Times New Roman"/>
                    </w:rPr>
                  </w:pPr>
                  <w:r>
                    <w:rPr>
                      <w:rFonts w:hint="eastAsia" w:ascii="Times New Roman" w:hAnsi="Times New Roman"/>
                    </w:rPr>
                    <w:t>60 mg/L</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rPr>
                    <w:t>400 mg/L</w:t>
                  </w:r>
                </w:p>
              </w:tc>
              <w:tc>
                <w:tcPr>
                  <w:tcW w:w="900" w:type="pct"/>
                  <w:tcBorders>
                    <w:tl2br w:val="nil"/>
                    <w:tr2bl w:val="nil"/>
                  </w:tcBorders>
                  <w:vAlign w:val="center"/>
                </w:tcPr>
                <w:p>
                  <w:pPr>
                    <w:spacing w:line="400" w:lineRule="exact"/>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vMerge w:val="continue"/>
                  <w:tcBorders>
                    <w:tl2br w:val="nil"/>
                    <w:tr2bl w:val="nil"/>
                  </w:tcBorders>
                  <w:vAlign w:val="center"/>
                </w:tcPr>
                <w:p>
                  <w:pPr>
                    <w:jc w:val="center"/>
                    <w:rPr>
                      <w:rFonts w:ascii="Times New Roman" w:hAnsi="Times New Roman"/>
                    </w:rPr>
                  </w:pPr>
                </w:p>
              </w:tc>
              <w:tc>
                <w:tcPr>
                  <w:tcW w:w="816" w:type="pct"/>
                  <w:tcBorders>
                    <w:tl2br w:val="nil"/>
                    <w:tr2bl w:val="nil"/>
                  </w:tcBorders>
                  <w:vAlign w:val="center"/>
                </w:tcPr>
                <w:p>
                  <w:pPr>
                    <w:jc w:val="cente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BOD</w:t>
                  </w:r>
                  <w:r>
                    <w:rPr>
                      <w:rFonts w:hint="eastAsia" w:ascii="Times New Roman" w:hAnsi="Times New Roman" w:cs="Times New Roman"/>
                      <w:vertAlign w:val="subscript"/>
                      <w:lang w:val="en-US" w:eastAsia="zh-CN"/>
                    </w:rPr>
                    <w:t>5</w:t>
                  </w:r>
                </w:p>
              </w:tc>
              <w:tc>
                <w:tcPr>
                  <w:tcW w:w="1351" w:type="pct"/>
                  <w:tcBorders>
                    <w:tl2br w:val="nil"/>
                    <w:tr2bl w:val="nil"/>
                  </w:tcBorders>
                  <w:vAlign w:val="center"/>
                </w:tcPr>
                <w:p>
                  <w:pPr>
                    <w:jc w:val="center"/>
                    <w:rPr>
                      <w:rFonts w:hint="default" w:ascii="Times New Roman" w:hAnsi="Times New Roman" w:eastAsiaTheme="minorEastAsia"/>
                      <w:lang w:val="en-US" w:eastAsia="zh-CN"/>
                    </w:rPr>
                  </w:pPr>
                  <w:r>
                    <w:rPr>
                      <w:rFonts w:hint="eastAsia" w:ascii="Times New Roman" w:hAnsi="Times New Roman"/>
                      <w:lang w:val="en-US" w:eastAsia="zh-CN"/>
                    </w:rPr>
                    <w:t>30</w:t>
                  </w:r>
                  <w:r>
                    <w:rPr>
                      <w:rFonts w:hint="eastAsia" w:ascii="Times New Roman" w:hAnsi="Times New Roman"/>
                    </w:rPr>
                    <w:t>mg/L</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lang w:val="en-US" w:eastAsia="zh-CN"/>
                    </w:rPr>
                    <w:t>350</w:t>
                  </w:r>
                  <w:r>
                    <w:rPr>
                      <w:rFonts w:hint="eastAsia" w:ascii="Times New Roman" w:hAnsi="Times New Roman"/>
                    </w:rPr>
                    <w:t xml:space="preserve"> mg/L</w:t>
                  </w:r>
                </w:p>
              </w:tc>
              <w:tc>
                <w:tcPr>
                  <w:tcW w:w="900" w:type="pct"/>
                  <w:tcBorders>
                    <w:tl2br w:val="nil"/>
                    <w:tr2bl w:val="nil"/>
                  </w:tcBorders>
                  <w:vAlign w:val="center"/>
                </w:tcPr>
                <w:p>
                  <w:pPr>
                    <w:spacing w:line="400" w:lineRule="exact"/>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vMerge w:val="continue"/>
                  <w:tcBorders>
                    <w:tl2br w:val="nil"/>
                    <w:tr2bl w:val="nil"/>
                  </w:tcBorders>
                  <w:vAlign w:val="center"/>
                </w:tcPr>
                <w:p>
                  <w:pPr>
                    <w:jc w:val="center"/>
                    <w:rPr>
                      <w:rFonts w:ascii="Times New Roman" w:hAnsi="Times New Roman"/>
                    </w:rPr>
                  </w:pPr>
                </w:p>
              </w:tc>
              <w:tc>
                <w:tcPr>
                  <w:tcW w:w="816" w:type="pct"/>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粪大肠菌群</w:t>
                  </w:r>
                </w:p>
              </w:tc>
              <w:tc>
                <w:tcPr>
                  <w:tcW w:w="1351" w:type="pct"/>
                  <w:tcBorders>
                    <w:tl2br w:val="nil"/>
                    <w:tr2bl w:val="nil"/>
                  </w:tcBorders>
                  <w:vAlign w:val="center"/>
                </w:tcPr>
                <w:p>
                  <w:pPr>
                    <w:jc w:val="center"/>
                    <w:rPr>
                      <w:rFonts w:ascii="Times New Roman" w:hAnsi="Times New Roman"/>
                    </w:rPr>
                  </w:pPr>
                  <w:r>
                    <w:rPr>
                      <w:rFonts w:hint="eastAsia" w:ascii="Times New Roman" w:hAnsi="Times New Roman"/>
                    </w:rPr>
                    <w:t>500 mg/L</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eastAsia="宋体" w:cs="Times New Roman"/>
                    </w:rPr>
                    <w:t>/</w:t>
                  </w:r>
                </w:p>
              </w:tc>
              <w:tc>
                <w:tcPr>
                  <w:tcW w:w="900" w:type="pct"/>
                  <w:tcBorders>
                    <w:tl2br w:val="nil"/>
                    <w:tr2bl w:val="nil"/>
                  </w:tcBorders>
                  <w:vAlign w:val="center"/>
                </w:tcPr>
                <w:p>
                  <w:pPr>
                    <w:spacing w:line="400" w:lineRule="exact"/>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vMerge w:val="continue"/>
                  <w:tcBorders>
                    <w:tl2br w:val="nil"/>
                    <w:tr2bl w:val="nil"/>
                  </w:tcBorders>
                  <w:vAlign w:val="center"/>
                </w:tcPr>
                <w:p>
                  <w:pPr>
                    <w:jc w:val="center"/>
                    <w:rPr>
                      <w:rFonts w:ascii="Times New Roman" w:hAnsi="Times New Roman"/>
                    </w:rPr>
                  </w:pPr>
                </w:p>
              </w:tc>
              <w:tc>
                <w:tcPr>
                  <w:tcW w:w="816" w:type="pct"/>
                  <w:tcBorders>
                    <w:tl2br w:val="nil"/>
                    <w:tr2bl w:val="nil"/>
                  </w:tcBorders>
                  <w:vAlign w:val="center"/>
                </w:tcPr>
                <w:p>
                  <w:pPr>
                    <w:jc w:val="center"/>
                    <w:rPr>
                      <w:rFonts w:ascii="Times New Roman" w:hAnsi="Times New Roman" w:cs="Times New Roman"/>
                    </w:rPr>
                  </w:pPr>
                  <w:r>
                    <w:rPr>
                      <w:rFonts w:hint="eastAsia" w:ascii="Times New Roman" w:hAnsi="Times New Roman" w:cs="Times New Roman"/>
                    </w:rPr>
                    <w:t>总余氯</w:t>
                  </w:r>
                </w:p>
              </w:tc>
              <w:tc>
                <w:tcPr>
                  <w:tcW w:w="1351" w:type="pct"/>
                  <w:tcBorders>
                    <w:tl2br w:val="nil"/>
                    <w:tr2bl w:val="nil"/>
                  </w:tcBorders>
                  <w:vAlign w:val="center"/>
                </w:tcPr>
                <w:p>
                  <w:pPr>
                    <w:jc w:val="center"/>
                    <w:rPr>
                      <w:rFonts w:ascii="Times New Roman" w:hAnsi="Times New Roman"/>
                    </w:rPr>
                  </w:pPr>
                  <w:r>
                    <w:rPr>
                      <w:rFonts w:hint="eastAsia" w:ascii="Times New Roman" w:hAnsi="Times New Roman"/>
                    </w:rPr>
                    <w:t>8 mg/L</w:t>
                  </w:r>
                </w:p>
              </w:tc>
              <w:tc>
                <w:tcPr>
                  <w:tcW w:w="1165" w:type="pct"/>
                  <w:tcBorders>
                    <w:tl2br w:val="nil"/>
                    <w:tr2bl w:val="nil"/>
                  </w:tcBorders>
                  <w:vAlign w:val="center"/>
                </w:tcPr>
                <w:p>
                  <w:pPr>
                    <w:jc w:val="center"/>
                    <w:rPr>
                      <w:rFonts w:ascii="Times New Roman" w:hAnsi="Times New Roman"/>
                    </w:rPr>
                  </w:pPr>
                  <w:r>
                    <w:rPr>
                      <w:rFonts w:hint="eastAsia" w:ascii="Times New Roman" w:hAnsi="Times New Roman"/>
                    </w:rPr>
                    <w:t>8 mg/L</w:t>
                  </w:r>
                </w:p>
              </w:tc>
              <w:tc>
                <w:tcPr>
                  <w:tcW w:w="900" w:type="pct"/>
                  <w:tcBorders>
                    <w:tl2br w:val="nil"/>
                    <w:tr2bl w:val="nil"/>
                  </w:tcBorders>
                  <w:vAlign w:val="center"/>
                </w:tcPr>
                <w:p>
                  <w:pPr>
                    <w:spacing w:line="400" w:lineRule="exact"/>
                    <w:jc w:val="cente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64" w:type="pct"/>
                  <w:tcBorders>
                    <w:tl2br w:val="nil"/>
                    <w:tr2bl w:val="nil"/>
                  </w:tcBorders>
                  <w:vAlign w:val="center"/>
                </w:tcPr>
                <w:p>
                  <w:pPr>
                    <w:jc w:val="center"/>
                    <w:rPr>
                      <w:rFonts w:hint="eastAsia" w:ascii="Times New Roman" w:hAnsi="Times New Roman" w:eastAsiaTheme="minorEastAsia"/>
                      <w:lang w:val="en-US" w:eastAsia="zh-CN"/>
                    </w:rPr>
                  </w:pPr>
                  <w:r>
                    <w:rPr>
                      <w:rFonts w:hint="eastAsia" w:ascii="Times New Roman" w:hAnsi="Times New Roman"/>
                    </w:rPr>
                    <w:t>接触池出口</w:t>
                  </w:r>
                  <w:r>
                    <w:rPr>
                      <w:rFonts w:hint="eastAsia" w:ascii="Times New Roman" w:hAnsi="Times New Roman"/>
                      <w:lang w:eastAsia="zh-CN"/>
                    </w:rPr>
                    <w:t>废水</w:t>
                  </w:r>
                </w:p>
              </w:tc>
              <w:tc>
                <w:tcPr>
                  <w:tcW w:w="816" w:type="pct"/>
                  <w:tcBorders>
                    <w:tl2br w:val="nil"/>
                    <w:tr2bl w:val="nil"/>
                  </w:tcBorders>
                  <w:vAlign w:val="center"/>
                </w:tcPr>
                <w:p>
                  <w:pPr>
                    <w:jc w:val="center"/>
                    <w:rPr>
                      <w:rFonts w:hint="eastAsia" w:ascii="Times New Roman" w:hAnsi="Times New Roman"/>
                    </w:rPr>
                  </w:pPr>
                  <w:r>
                    <w:rPr>
                      <w:rFonts w:hint="eastAsia" w:ascii="Times New Roman" w:hAnsi="Times New Roman"/>
                    </w:rPr>
                    <w:t>余氯</w:t>
                  </w:r>
                </w:p>
              </w:tc>
              <w:tc>
                <w:tcPr>
                  <w:tcW w:w="1351" w:type="pct"/>
                  <w:tcBorders>
                    <w:tl2br w:val="nil"/>
                    <w:tr2bl w:val="nil"/>
                  </w:tcBorders>
                  <w:vAlign w:val="center"/>
                </w:tcPr>
                <w:p>
                  <w:pPr>
                    <w:jc w:val="center"/>
                    <w:rPr>
                      <w:rFonts w:hint="eastAsia" w:ascii="Times New Roman" w:hAnsi="Times New Roman"/>
                    </w:rPr>
                  </w:pPr>
                  <w:r>
                    <w:rPr>
                      <w:rFonts w:hint="eastAsia" w:ascii="Times New Roman" w:hAnsi="Times New Roman"/>
                    </w:rPr>
                    <w:t>6.5～10 mg/L</w:t>
                  </w:r>
                </w:p>
              </w:tc>
              <w:tc>
                <w:tcPr>
                  <w:tcW w:w="1165" w:type="pct"/>
                  <w:tcBorders>
                    <w:tl2br w:val="nil"/>
                    <w:tr2bl w:val="nil"/>
                  </w:tcBorders>
                  <w:vAlign w:val="center"/>
                </w:tcPr>
                <w:p>
                  <w:pPr>
                    <w:jc w:val="center"/>
                    <w:rPr>
                      <w:rFonts w:hint="eastAsia" w:ascii="Times New Roman" w:hAnsi="Times New Roman"/>
                      <w:lang w:val="en-US" w:eastAsia="zh-CN"/>
                    </w:rPr>
                  </w:pPr>
                  <w:r>
                    <w:rPr>
                      <w:rFonts w:hint="eastAsia" w:ascii="Times New Roman" w:hAnsi="Times New Roman"/>
                      <w:lang w:val="en-US" w:eastAsia="zh-CN"/>
                    </w:rPr>
                    <w:t>/</w:t>
                  </w:r>
                </w:p>
              </w:tc>
              <w:tc>
                <w:tcPr>
                  <w:tcW w:w="900" w:type="pct"/>
                  <w:tcBorders>
                    <w:tl2br w:val="nil"/>
                    <w:tr2bl w:val="nil"/>
                  </w:tcBorders>
                  <w:vAlign w:val="center"/>
                </w:tcPr>
                <w:p>
                  <w:pPr>
                    <w:spacing w:line="400" w:lineRule="exact"/>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bl>
          <w:p>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2、废水监测因子及频次</w:t>
            </w:r>
          </w:p>
          <w:p>
            <w:pPr>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根据项目生产工艺及产污环节等设置监测点位、监测因子，具体监测内容见表6-5。</w:t>
            </w:r>
          </w:p>
          <w:p>
            <w:pPr>
              <w:pStyle w:val="23"/>
              <w:rPr>
                <w:rFonts w:ascii="Times New Roman" w:hAnsi="Times New Roman" w:cs="Times New Roman"/>
              </w:rPr>
            </w:pPr>
            <w:r>
              <w:rPr>
                <w:rFonts w:ascii="Times New Roman" w:hAnsi="Times New Roman" w:eastAsia="宋体" w:cs="Times New Roman"/>
              </w:rPr>
              <w:t>表6-</w:t>
            </w:r>
            <w:r>
              <w:rPr>
                <w:rFonts w:hint="eastAsia" w:ascii="Times New Roman" w:hAnsi="Times New Roman" w:cs="Times New Roman" w:eastAsiaTheme="minorEastAsia"/>
              </w:rPr>
              <w:t>5</w:t>
            </w:r>
            <w:r>
              <w:rPr>
                <w:rFonts w:ascii="Times New Roman" w:hAnsi="Times New Roman" w:eastAsia="宋体" w:cs="Times New Roman"/>
              </w:rPr>
              <w:t>废</w:t>
            </w:r>
            <w:r>
              <w:rPr>
                <w:rFonts w:hint="eastAsia" w:ascii="Times New Roman" w:hAnsi="Times New Roman" w:eastAsia="宋体" w:cs="Times New Roman"/>
              </w:rPr>
              <w:t>水</w:t>
            </w:r>
            <w:r>
              <w:rPr>
                <w:rFonts w:ascii="Times New Roman" w:hAnsi="Times New Roman" w:eastAsia="宋体" w:cs="Times New Roman"/>
              </w:rPr>
              <w:t>验收监测内容</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375"/>
              <w:gridCol w:w="3871"/>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622"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监测类别</w:t>
                  </w:r>
                </w:p>
              </w:tc>
              <w:tc>
                <w:tcPr>
                  <w:tcW w:w="829"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监测点位</w:t>
                  </w:r>
                </w:p>
              </w:tc>
              <w:tc>
                <w:tcPr>
                  <w:tcW w:w="2334"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监测项目</w:t>
                  </w:r>
                </w:p>
              </w:tc>
              <w:tc>
                <w:tcPr>
                  <w:tcW w:w="1214" w:type="pct"/>
                  <w:vAlign w:val="center"/>
                </w:tcPr>
                <w:p>
                  <w:pPr>
                    <w:jc w:val="center"/>
                    <w:rPr>
                      <w:rFonts w:ascii="Times New Roman" w:hAnsi="Times New Roman" w:eastAsia="宋体" w:cs="Times New Roman"/>
                      <w:spacing w:val="6"/>
                    </w:rPr>
                  </w:pPr>
                  <w:r>
                    <w:rPr>
                      <w:rFonts w:ascii="Times New Roman" w:hAnsi="Times New Roman" w:eastAsia="宋体" w:cs="Times New Roman"/>
                      <w:spacing w:val="6"/>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22" w:type="pct"/>
                  <w:vAlign w:val="center"/>
                </w:tcPr>
                <w:p>
                  <w:pPr>
                    <w:jc w:val="center"/>
                    <w:rPr>
                      <w:rFonts w:ascii="Times New Roman" w:hAnsi="Times New Roman" w:eastAsia="宋体" w:cs="Times New Roman"/>
                      <w:spacing w:val="6"/>
                    </w:rPr>
                  </w:pPr>
                  <w:r>
                    <w:rPr>
                      <w:rFonts w:hint="eastAsia" w:ascii="Times New Roman" w:hAnsi="Times New Roman" w:eastAsia="宋体" w:cs="Times New Roman"/>
                      <w:spacing w:val="6"/>
                    </w:rPr>
                    <w:t>废水</w:t>
                  </w:r>
                </w:p>
              </w:tc>
              <w:tc>
                <w:tcPr>
                  <w:tcW w:w="829" w:type="pct"/>
                  <w:vAlign w:val="center"/>
                </w:tcPr>
                <w:p>
                  <w:pPr>
                    <w:jc w:val="center"/>
                    <w:rPr>
                      <w:rFonts w:ascii="Times New Roman" w:hAnsi="Times New Roman" w:eastAsia="宋体" w:cs="Times New Roman"/>
                      <w:spacing w:val="6"/>
                    </w:rPr>
                  </w:pPr>
                  <w:r>
                    <w:rPr>
                      <w:rFonts w:hint="eastAsia" w:ascii="Times New Roman" w:hAnsi="Times New Roman" w:eastAsia="宋体" w:cs="Times New Roman"/>
                      <w:spacing w:val="6"/>
                    </w:rPr>
                    <w:t>废水外排口</w:t>
                  </w:r>
                </w:p>
              </w:tc>
              <w:tc>
                <w:tcPr>
                  <w:tcW w:w="2334" w:type="pct"/>
                  <w:vAlign w:val="center"/>
                </w:tcPr>
                <w:p>
                  <w:pPr>
                    <w:jc w:val="center"/>
                    <w:rPr>
                      <w:rFonts w:ascii="Times New Roman" w:hAnsi="Times New Roman" w:eastAsia="宋体" w:cs="Times New Roman"/>
                      <w:spacing w:val="6"/>
                    </w:rPr>
                  </w:pPr>
                  <w:r>
                    <w:rPr>
                      <w:rFonts w:hint="eastAsia" w:ascii="Times New Roman" w:hAnsi="Times New Roman" w:eastAsia="宋体" w:cs="Times New Roman"/>
                      <w:spacing w:val="6"/>
                    </w:rPr>
                    <w:t>悬浮物、化学需氧量、氨氮、pH、</w:t>
                  </w:r>
                  <w:r>
                    <w:rPr>
                      <w:rFonts w:hint="eastAsia" w:ascii="Times New Roman" w:hAnsi="Times New Roman" w:eastAsia="宋体" w:cs="Times New Roman"/>
                      <w:spacing w:val="6"/>
                      <w:lang w:val="en-US" w:eastAsia="zh-CN"/>
                    </w:rPr>
                    <w:t>BOD</w:t>
                  </w:r>
                  <w:r>
                    <w:rPr>
                      <w:rFonts w:hint="eastAsia" w:ascii="Times New Roman" w:hAnsi="Times New Roman" w:eastAsia="宋体" w:cs="Times New Roman"/>
                      <w:spacing w:val="6"/>
                      <w:vertAlign w:val="subscript"/>
                      <w:lang w:val="en-US" w:eastAsia="zh-CN"/>
                    </w:rPr>
                    <w:t>5</w:t>
                  </w:r>
                  <w:r>
                    <w:rPr>
                      <w:rFonts w:hint="eastAsia" w:ascii="Times New Roman" w:hAnsi="Times New Roman" w:eastAsia="宋体" w:cs="Times New Roman"/>
                      <w:spacing w:val="6"/>
                    </w:rPr>
                    <w:t>、粪大肠菌群、总余氯</w:t>
                  </w:r>
                </w:p>
              </w:tc>
              <w:tc>
                <w:tcPr>
                  <w:tcW w:w="1214" w:type="pct"/>
                  <w:vAlign w:val="center"/>
                </w:tcPr>
                <w:p>
                  <w:pPr>
                    <w:jc w:val="center"/>
                    <w:rPr>
                      <w:rFonts w:ascii="Times New Roman" w:hAnsi="Times New Roman" w:eastAsia="宋体" w:cs="Times New Roman"/>
                      <w:spacing w:val="6"/>
                    </w:rPr>
                  </w:pPr>
                  <w:r>
                    <w:rPr>
                      <w:rFonts w:hint="eastAsia" w:ascii="Times New Roman" w:hAnsi="Times New Roman" w:eastAsia="宋体" w:cs="Times New Roman"/>
                      <w:spacing w:val="6"/>
                    </w:rPr>
                    <w:t>4</w:t>
                  </w:r>
                  <w:r>
                    <w:rPr>
                      <w:rFonts w:ascii="Times New Roman" w:hAnsi="Times New Roman" w:eastAsia="宋体" w:cs="Times New Roman"/>
                      <w:spacing w:val="6"/>
                    </w:rPr>
                    <w:t>次/天，监测2天</w:t>
                  </w:r>
                </w:p>
              </w:tc>
            </w:tr>
          </w:tbl>
          <w:p>
            <w:pPr>
              <w:spacing w:line="360" w:lineRule="auto"/>
              <w:rPr>
                <w:rFonts w:ascii="Times New Roman" w:hAnsi="Times New Roman" w:eastAsia="宋体" w:cs="Times New Roman"/>
                <w:b/>
                <w:spacing w:val="6"/>
                <w:sz w:val="24"/>
                <w:szCs w:val="24"/>
              </w:rPr>
            </w:pPr>
            <w:r>
              <w:rPr>
                <w:rFonts w:hint="eastAsia" w:ascii="Times New Roman" w:hAnsi="Times New Roman" w:eastAsia="宋体" w:cs="Times New Roman"/>
                <w:b/>
                <w:spacing w:val="6"/>
                <w:sz w:val="24"/>
                <w:szCs w:val="24"/>
              </w:rPr>
              <w:t>三</w:t>
            </w:r>
            <w:r>
              <w:rPr>
                <w:rFonts w:ascii="Times New Roman" w:hAnsi="Times New Roman" w:eastAsia="宋体" w:cs="Times New Roman"/>
                <w:b/>
                <w:spacing w:val="6"/>
                <w:sz w:val="24"/>
                <w:szCs w:val="24"/>
              </w:rPr>
              <w:t>、噪声监测</w:t>
            </w:r>
          </w:p>
          <w:p>
            <w:pPr>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1、噪声验收监测执行标准</w:t>
            </w:r>
          </w:p>
          <w:p>
            <w:pPr>
              <w:spacing w:line="360" w:lineRule="auto"/>
              <w:ind w:firstLine="480"/>
              <w:jc w:val="left"/>
              <w:rPr>
                <w:rFonts w:ascii="Times New Roman" w:hAnsi="Times New Roman" w:eastAsia="宋体" w:cs="Times New Roman"/>
                <w:sz w:val="24"/>
                <w:szCs w:val="24"/>
              </w:rPr>
            </w:pPr>
            <w:r>
              <w:rPr>
                <w:rFonts w:ascii="Times New Roman" w:hAnsi="Times New Roman" w:eastAsia="宋体" w:cs="Times New Roman"/>
                <w:sz w:val="24"/>
                <w:szCs w:val="24"/>
              </w:rPr>
              <w:t>厂界噪声执行</w:t>
            </w:r>
            <w:r>
              <w:rPr>
                <w:rFonts w:hint="eastAsia" w:ascii="Times New Roman" w:hAnsi="Times New Roman" w:eastAsia="宋体" w:cs="Times New Roman"/>
                <w:sz w:val="24"/>
                <w:szCs w:val="24"/>
                <w:lang w:eastAsia="zh-CN"/>
              </w:rPr>
              <w:t>《工业企业厂界环境噪声排放标准》（GB12348-2008）</w:t>
            </w:r>
            <w:r>
              <w:rPr>
                <w:rFonts w:ascii="Times New Roman" w:hAnsi="Times New Roman" w:eastAsia="宋体" w:cs="Times New Roman"/>
                <w:sz w:val="24"/>
                <w:szCs w:val="24"/>
              </w:rPr>
              <w:t>表1类标准要求，</w:t>
            </w:r>
            <w:r>
              <w:rPr>
                <w:rFonts w:hint="eastAsia" w:ascii="Times New Roman" w:hAnsi="Times New Roman" w:eastAsia="宋体" w:cs="Times New Roman"/>
                <w:sz w:val="24"/>
                <w:szCs w:val="24"/>
                <w:lang w:eastAsia="zh-CN"/>
              </w:rPr>
              <w:t>敏感点噪声执行</w:t>
            </w:r>
            <w:r>
              <w:rPr>
                <w:rFonts w:hint="eastAsia" w:ascii="Times New Roman" w:hAnsi="Times New Roman" w:eastAsia="宋体" w:cs="Times New Roman"/>
                <w:sz w:val="24"/>
                <w:szCs w:val="24"/>
                <w:highlight w:val="none"/>
                <w:lang w:eastAsia="zh-CN"/>
              </w:rPr>
              <w:t>《声环境质量标准》（GB</w:t>
            </w:r>
            <w:r>
              <w:rPr>
                <w:rFonts w:hint="eastAsia" w:ascii="Times New Roman" w:hAnsi="Times New Roman" w:eastAsia="宋体" w:cs="Times New Roman"/>
                <w:sz w:val="24"/>
                <w:szCs w:val="24"/>
                <w:highlight w:val="none"/>
                <w:lang w:val="en-US" w:eastAsia="zh-CN"/>
              </w:rPr>
              <w:t>3096</w:t>
            </w:r>
            <w:r>
              <w:rPr>
                <w:rFonts w:hint="eastAsia" w:ascii="Times New Roman" w:hAnsi="Times New Roman" w:eastAsia="宋体" w:cs="Times New Roman"/>
                <w:sz w:val="24"/>
                <w:szCs w:val="24"/>
                <w:highlight w:val="none"/>
                <w:lang w:eastAsia="zh-CN"/>
              </w:rPr>
              <w:t>-2008）表</w:t>
            </w:r>
            <w:r>
              <w:rPr>
                <w:rFonts w:hint="eastAsia" w:ascii="Times New Roman" w:hAnsi="Times New Roman" w:eastAsia="宋体" w:cs="Times New Roman"/>
                <w:sz w:val="24"/>
                <w:szCs w:val="24"/>
                <w:highlight w:val="none"/>
                <w:lang w:val="en-US" w:eastAsia="zh-CN"/>
              </w:rPr>
              <w:t>1类标准要求。</w:t>
            </w:r>
            <w:r>
              <w:rPr>
                <w:rFonts w:ascii="Times New Roman" w:hAnsi="Times New Roman" w:eastAsia="宋体" w:cs="Times New Roman"/>
                <w:sz w:val="24"/>
                <w:szCs w:val="24"/>
              </w:rPr>
              <w:t>噪声执行标准限值见表6-</w:t>
            </w:r>
            <w:r>
              <w:rPr>
                <w:rFonts w:hint="eastAsia" w:ascii="Times New Roman" w:hAnsi="Times New Roman" w:eastAsia="宋体" w:cs="Times New Roman"/>
                <w:sz w:val="24"/>
                <w:szCs w:val="24"/>
              </w:rPr>
              <w:t>6</w:t>
            </w:r>
            <w:r>
              <w:rPr>
                <w:rFonts w:ascii="Times New Roman" w:hAnsi="Times New Roman" w:eastAsia="宋体" w:cs="Times New Roman"/>
                <w:sz w:val="24"/>
                <w:szCs w:val="24"/>
              </w:rPr>
              <w:t>。</w:t>
            </w:r>
          </w:p>
          <w:p>
            <w:pPr>
              <w:spacing w:line="360" w:lineRule="auto"/>
              <w:ind w:firstLine="482"/>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表6-</w:t>
            </w:r>
            <w:r>
              <w:rPr>
                <w:rFonts w:hint="eastAsia" w:ascii="Times New Roman" w:hAnsi="Times New Roman" w:cs="Times New Roman"/>
                <w:b/>
                <w:color w:val="000000" w:themeColor="text1"/>
                <w:sz w:val="24"/>
                <w:szCs w:val="24"/>
                <w14:textFill>
                  <w14:solidFill>
                    <w14:schemeClr w14:val="tx1"/>
                  </w14:solidFill>
                </w14:textFill>
              </w:rPr>
              <w:t>6</w:t>
            </w:r>
            <w:r>
              <w:rPr>
                <w:rFonts w:ascii="Times New Roman" w:hAnsi="Times New Roman" w:cs="Times New Roman"/>
                <w:b/>
                <w:color w:val="000000" w:themeColor="text1"/>
                <w:sz w:val="24"/>
                <w:szCs w:val="24"/>
                <w14:textFill>
                  <w14:solidFill>
                    <w14:schemeClr w14:val="tx1"/>
                  </w14:solidFill>
                </w14:textFill>
              </w:rPr>
              <w:t xml:space="preserve"> 厂界噪声评价标准限值</w:t>
            </w:r>
          </w:p>
          <w:tbl>
            <w:tblPr>
              <w:tblStyle w:val="30"/>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3"/>
              <w:gridCol w:w="2793"/>
              <w:gridCol w:w="2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trPr>
              <w:tc>
                <w:tcPr>
                  <w:tcW w:w="2353" w:type="dxa"/>
                  <w:vAlign w:val="center"/>
                </w:tcPr>
                <w:p>
                  <w:pPr>
                    <w:widowControl/>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项目</w:t>
                  </w:r>
                </w:p>
              </w:tc>
              <w:tc>
                <w:tcPr>
                  <w:tcW w:w="5586" w:type="dxa"/>
                  <w:gridSpan w:val="2"/>
                  <w:vAlign w:val="center"/>
                </w:tcPr>
                <w:p>
                  <w:pPr>
                    <w:widowControl/>
                    <w:jc w:val="center"/>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执行标准限值（dB（A））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353" w:type="dxa"/>
                  <w:vAlign w:val="center"/>
                </w:tcPr>
                <w:p>
                  <w:pPr>
                    <w:widowControl/>
                    <w:jc w:val="center"/>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color w:val="000000" w:themeColor="text1"/>
                      <w:kern w:val="0"/>
                      <w:sz w:val="24"/>
                      <w:szCs w:val="24"/>
                      <w14:textFill>
                        <w14:solidFill>
                          <w14:schemeClr w14:val="tx1"/>
                        </w14:solidFill>
                      </w14:textFill>
                    </w:rPr>
                    <w:t>厂界噪声</w:t>
                  </w:r>
                </w:p>
              </w:tc>
              <w:tc>
                <w:tcPr>
                  <w:tcW w:w="2793" w:type="dxa"/>
                  <w:vAlign w:val="center"/>
                </w:tcPr>
                <w:p>
                  <w:pPr>
                    <w:widowControl/>
                    <w:jc w:val="center"/>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55</w:t>
                  </w:r>
                  <w:r>
                    <w:rPr>
                      <w:rFonts w:ascii="Times New Roman" w:hAnsi="Times New Roman" w:cs="Times New Roman"/>
                      <w:color w:val="000000" w:themeColor="text1"/>
                      <w:kern w:val="0"/>
                      <w:sz w:val="24"/>
                      <w:szCs w:val="24"/>
                      <w14:textFill>
                        <w14:solidFill>
                          <w14:schemeClr w14:val="tx1"/>
                        </w14:solidFill>
                      </w14:textFill>
                    </w:rPr>
                    <w:t>（昼间）</w:t>
                  </w:r>
                </w:p>
              </w:tc>
              <w:tc>
                <w:tcPr>
                  <w:tcW w:w="2793" w:type="dxa"/>
                  <w:vAlign w:val="center"/>
                </w:tcPr>
                <w:p>
                  <w:pPr>
                    <w:widowControl/>
                    <w:jc w:val="center"/>
                    <w:rPr>
                      <w:rFonts w:ascii="Times New Roman" w:hAnsi="Times New Roman" w:cs="Times New Roman"/>
                      <w:color w:val="000000" w:themeColor="text1"/>
                      <w:kern w:val="0"/>
                      <w:sz w:val="24"/>
                      <w:szCs w:val="24"/>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45</w:t>
                  </w:r>
                  <w:r>
                    <w:rPr>
                      <w:rFonts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夜</w:t>
                  </w:r>
                  <w:r>
                    <w:rPr>
                      <w:rFonts w:ascii="Times New Roman" w:hAnsi="Times New Roman" w:cs="Times New Roman"/>
                      <w:color w:val="000000" w:themeColor="text1"/>
                      <w:kern w:val="0"/>
                      <w:sz w:val="24"/>
                      <w:szCs w:val="24"/>
                      <w14:textFill>
                        <w14:solidFill>
                          <w14:schemeClr w14:val="tx1"/>
                        </w14:solidFill>
                      </w14:textFill>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2353" w:type="dxa"/>
                  <w:vAlign w:val="center"/>
                </w:tcPr>
                <w:p>
                  <w:pPr>
                    <w:widowControl/>
                    <w:jc w:val="center"/>
                    <w:rPr>
                      <w:rFonts w:hint="eastAsia" w:ascii="Times New Roman" w:hAnsi="Times New Roman" w:cs="Times New Roman" w:eastAsiaTheme="minorEastAsia"/>
                      <w:color w:val="000000" w:themeColor="text1"/>
                      <w:kern w:val="0"/>
                      <w:sz w:val="24"/>
                      <w:szCs w:val="24"/>
                      <w:lang w:eastAsia="zh-CN"/>
                      <w14:textFill>
                        <w14:solidFill>
                          <w14:schemeClr w14:val="tx1"/>
                        </w14:solidFill>
                      </w14:textFill>
                    </w:rPr>
                  </w:pPr>
                  <w:r>
                    <w:rPr>
                      <w:rFonts w:hint="eastAsia" w:ascii="Times New Roman" w:hAnsi="Times New Roman" w:cs="Times New Roman"/>
                      <w:color w:val="000000" w:themeColor="text1"/>
                      <w:kern w:val="0"/>
                      <w:sz w:val="24"/>
                      <w:szCs w:val="24"/>
                      <w:lang w:eastAsia="zh-CN"/>
                      <w14:textFill>
                        <w14:solidFill>
                          <w14:schemeClr w14:val="tx1"/>
                        </w14:solidFill>
                      </w14:textFill>
                    </w:rPr>
                    <w:t>敏感点噪声</w:t>
                  </w:r>
                </w:p>
              </w:tc>
              <w:tc>
                <w:tcPr>
                  <w:tcW w:w="2793" w:type="dxa"/>
                  <w:vAlign w:val="center"/>
                </w:tcPr>
                <w:p>
                  <w:pPr>
                    <w:widowControl/>
                    <w:jc w:val="cente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55</w:t>
                  </w:r>
                  <w:r>
                    <w:rPr>
                      <w:rFonts w:ascii="Times New Roman" w:hAnsi="Times New Roman" w:cs="Times New Roman"/>
                      <w:color w:val="000000" w:themeColor="text1"/>
                      <w:kern w:val="0"/>
                      <w:sz w:val="24"/>
                      <w:szCs w:val="24"/>
                      <w14:textFill>
                        <w14:solidFill>
                          <w14:schemeClr w14:val="tx1"/>
                        </w14:solidFill>
                      </w14:textFill>
                    </w:rPr>
                    <w:t>（昼间）</w:t>
                  </w:r>
                </w:p>
              </w:tc>
              <w:tc>
                <w:tcPr>
                  <w:tcW w:w="2793" w:type="dxa"/>
                  <w:vAlign w:val="center"/>
                </w:tcPr>
                <w:p>
                  <w:pPr>
                    <w:widowControl/>
                    <w:jc w:val="cente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0"/>
                      <w:sz w:val="24"/>
                      <w:szCs w:val="24"/>
                      <w14:textFill>
                        <w14:solidFill>
                          <w14:schemeClr w14:val="tx1"/>
                        </w14:solidFill>
                      </w14:textFill>
                    </w:rPr>
                    <w:t>45</w:t>
                  </w:r>
                  <w:r>
                    <w:rPr>
                      <w:rFonts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14:textFill>
                        <w14:solidFill>
                          <w14:schemeClr w14:val="tx1"/>
                        </w14:solidFill>
                      </w14:textFill>
                    </w:rPr>
                    <w:t>夜</w:t>
                  </w:r>
                  <w:r>
                    <w:rPr>
                      <w:rFonts w:ascii="Times New Roman" w:hAnsi="Times New Roman" w:cs="Times New Roman"/>
                      <w:color w:val="000000" w:themeColor="text1"/>
                      <w:kern w:val="0"/>
                      <w:sz w:val="24"/>
                      <w:szCs w:val="24"/>
                      <w14:textFill>
                        <w14:solidFill>
                          <w14:schemeClr w14:val="tx1"/>
                        </w14:solidFill>
                      </w14:textFill>
                    </w:rPr>
                    <w:t>间）</w:t>
                  </w:r>
                </w:p>
              </w:tc>
            </w:tr>
          </w:tbl>
          <w:p>
            <w:p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2、噪声监测点位及频次</w:t>
            </w:r>
          </w:p>
          <w:p>
            <w:pPr>
              <w:spacing w:line="360" w:lineRule="auto"/>
              <w:ind w:firstLine="48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监测点位：根据厂界噪声源的分布，在东、南</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西、北</w:t>
            </w:r>
            <w:r>
              <w:rPr>
                <w:rFonts w:hint="eastAsia" w:ascii="Times New Roman" w:hAnsi="Times New Roman" w:cs="Times New Roman"/>
                <w:color w:val="000000" w:themeColor="text1"/>
                <w:sz w:val="24"/>
                <w:szCs w:val="24"/>
                <w14:textFill>
                  <w14:solidFill>
                    <w14:schemeClr w14:val="tx1"/>
                  </w14:solidFill>
                </w14:textFill>
              </w:rPr>
              <w:t>厂界</w:t>
            </w:r>
            <w:r>
              <w:rPr>
                <w:rFonts w:ascii="Times New Roman" w:hAnsi="Times New Roman" w:cs="Times New Roman"/>
                <w:color w:val="000000" w:themeColor="text1"/>
                <w:sz w:val="24"/>
                <w:szCs w:val="24"/>
                <w14:textFill>
                  <w14:solidFill>
                    <w14:schemeClr w14:val="tx1"/>
                  </w14:solidFill>
                </w14:textFill>
              </w:rPr>
              <w:t>分别设1个厂界噪声监测点。</w:t>
            </w:r>
            <w:r>
              <w:rPr>
                <w:rFonts w:hint="eastAsia" w:ascii="Times New Roman" w:hAnsi="Times New Roman" w:cs="Times New Roman"/>
                <w:color w:val="000000" w:themeColor="text1"/>
                <w:sz w:val="24"/>
                <w:szCs w:val="24"/>
                <w:lang w:eastAsia="zh-CN"/>
                <w14:textFill>
                  <w14:solidFill>
                    <w14:schemeClr w14:val="tx1"/>
                  </w14:solidFill>
                </w14:textFill>
              </w:rPr>
              <w:t>根据厂界外敏感点分布情况，在南关清真寺、</w:t>
            </w:r>
            <w:r>
              <w:rPr>
                <w:rFonts w:hint="eastAsia" w:ascii="Times New Roman" w:hAnsi="Times New Roman" w:cs="Times New Roman"/>
                <w:color w:val="000000" w:themeColor="text1"/>
                <w:sz w:val="24"/>
                <w:szCs w:val="24"/>
                <w:lang w:val="en-US" w:eastAsia="zh-CN"/>
                <w14:textFill>
                  <w14:solidFill>
                    <w14:schemeClr w14:val="tx1"/>
                  </w14:solidFill>
                </w14:textFill>
              </w:rPr>
              <w:t>杉槁园街小区、南券门巷小区、济南历下社区学院等敏感点设置噪声监测</w:t>
            </w:r>
            <w:r>
              <w:rPr>
                <w:rFonts w:ascii="Times New Roman" w:hAnsi="Times New Roman" w:cs="Times New Roman"/>
                <w:color w:val="000000" w:themeColor="text1"/>
                <w:sz w:val="24"/>
                <w:szCs w:val="24"/>
                <w14:textFill>
                  <w14:solidFill>
                    <w14:schemeClr w14:val="tx1"/>
                  </w14:solidFill>
                </w14:textFill>
              </w:rPr>
              <w:t>点图</w:t>
            </w:r>
            <w:r>
              <w:rPr>
                <w:rFonts w:hint="eastAsia" w:ascii="Times New Roman" w:hAnsi="Times New Roman" w:cs="Times New Roman"/>
                <w:color w:val="000000" w:themeColor="text1"/>
                <w:sz w:val="24"/>
                <w:szCs w:val="24"/>
                <w:lang w:eastAsia="zh-CN"/>
                <w14:textFill>
                  <w14:solidFill>
                    <w14:schemeClr w14:val="tx1"/>
                  </w14:solidFill>
                </w14:textFill>
              </w:rPr>
              <w:t>，噪声监测点分布</w:t>
            </w:r>
            <w:r>
              <w:rPr>
                <w:rFonts w:ascii="Times New Roman" w:hAnsi="Times New Roman" w:cs="Times New Roman"/>
                <w:color w:val="000000" w:themeColor="text1"/>
                <w:sz w:val="24"/>
                <w:szCs w:val="24"/>
                <w14:textFill>
                  <w14:solidFill>
                    <w14:schemeClr w14:val="tx1"/>
                  </w14:solidFill>
                </w14:textFill>
              </w:rPr>
              <w:t>如图6-</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w:t>
            </w:r>
          </w:p>
          <w:p>
            <w:pPr>
              <w:spacing w:line="360" w:lineRule="auto"/>
              <w:ind w:firstLine="480"/>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监测频次：每个监测点位昼</w:t>
            </w:r>
            <w:r>
              <w:rPr>
                <w:rFonts w:hint="eastAsia" w:ascii="Times New Roman" w:hAnsi="Times New Roman" w:eastAsia="宋体" w:cs="Times New Roman"/>
                <w:color w:val="000000" w:themeColor="text1"/>
                <w:sz w:val="24"/>
                <w:szCs w:val="24"/>
                <w14:textFill>
                  <w14:solidFill>
                    <w14:schemeClr w14:val="tx1"/>
                  </w14:solidFill>
                </w14:textFill>
              </w:rPr>
              <w:t>（夜）</w:t>
            </w:r>
            <w:r>
              <w:rPr>
                <w:rFonts w:ascii="Times New Roman" w:hAnsi="Times New Roman" w:eastAsia="宋体" w:cs="Times New Roman"/>
                <w:color w:val="000000" w:themeColor="text1"/>
                <w:sz w:val="24"/>
                <w:szCs w:val="24"/>
                <w14:textFill>
                  <w14:solidFill>
                    <w14:schemeClr w14:val="tx1"/>
                  </w14:solidFill>
                </w14:textFill>
              </w:rPr>
              <w:t>间监测1次，连续监测2天。</w:t>
            </w:r>
          </w:p>
          <w:p>
            <w:pPr>
              <w:pStyle w:val="37"/>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p>
          <w:p>
            <w:pPr>
              <w:jc w:val="center"/>
              <w:rPr>
                <w:rFonts w:ascii="Times New Roman" w:hAnsi="Times New Roman" w:eastAsia="宋体" w:cs="Times New Roman"/>
                <w:sz w:val="28"/>
                <w:szCs w:val="28"/>
              </w:rPr>
            </w:pPr>
            <w:r>
              <w:drawing>
                <wp:inline distT="0" distB="0" distL="114300" distR="114300">
                  <wp:extent cx="4591050" cy="56388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4"/>
                          <a:stretch>
                            <a:fillRect/>
                          </a:stretch>
                        </pic:blipFill>
                        <pic:spPr>
                          <a:xfrm>
                            <a:off x="0" y="0"/>
                            <a:ext cx="4591050" cy="5638800"/>
                          </a:xfrm>
                          <a:prstGeom prst="rect">
                            <a:avLst/>
                          </a:prstGeom>
                          <a:noFill/>
                          <a:ln>
                            <a:noFill/>
                          </a:ln>
                        </pic:spPr>
                      </pic:pic>
                    </a:graphicData>
                  </a:graphic>
                </wp:inline>
              </w:drawing>
            </w:r>
          </w:p>
          <w:p>
            <w:pPr>
              <w:jc w:val="center"/>
              <w:rPr>
                <w:rFonts w:ascii="Times New Roman" w:hAnsi="Times New Roman" w:eastAsia="宋体" w:cs="Times New Roman"/>
                <w:b/>
                <w:sz w:val="24"/>
                <w:szCs w:val="24"/>
              </w:rPr>
            </w:pPr>
          </w:p>
          <w:p>
            <w:pPr>
              <w:jc w:val="center"/>
              <w:rPr>
                <w:rFonts w:ascii="Times New Roman" w:hAnsi="Times New Roman" w:cs="Times New Roman"/>
              </w:rPr>
            </w:pPr>
            <w:r>
              <w:rPr>
                <w:rFonts w:ascii="Times New Roman" w:hAnsi="Times New Roman" w:eastAsia="宋体" w:cs="Times New Roman"/>
                <w:b/>
                <w:sz w:val="24"/>
                <w:szCs w:val="24"/>
              </w:rPr>
              <w:t>图6</w:t>
            </w:r>
            <w:r>
              <w:rPr>
                <w:rFonts w:hint="eastAsia" w:ascii="Times New Roman" w:hAnsi="Times New Roman" w:eastAsia="宋体" w:cs="Times New Roman"/>
                <w:b/>
                <w:sz w:val="24"/>
                <w:szCs w:val="24"/>
                <w:lang w:val="en-US" w:eastAsia="zh-CN"/>
              </w:rPr>
              <w:t>-1</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eastAsia="zh-CN"/>
              </w:rPr>
              <w:t>项目</w:t>
            </w:r>
            <w:r>
              <w:rPr>
                <w:rFonts w:ascii="Times New Roman" w:hAnsi="Times New Roman" w:eastAsia="宋体" w:cs="Times New Roman"/>
                <w:b/>
                <w:sz w:val="24"/>
                <w:szCs w:val="24"/>
              </w:rPr>
              <w:t>监测点位示意图</w:t>
            </w:r>
          </w:p>
        </w:tc>
      </w:tr>
    </w:tbl>
    <w:p>
      <w:pPr>
        <w:pStyle w:val="4"/>
        <w:spacing w:before="0" w:after="0" w:line="360" w:lineRule="auto"/>
        <w:jc w:val="left"/>
        <w:rPr>
          <w:rFonts w:ascii="Times New Roman" w:hAnsi="Times New Roman" w:cs="Times New Roman"/>
          <w:color w:val="000000" w:themeColor="text1"/>
          <w:sz w:val="28"/>
          <w:szCs w:val="28"/>
          <w14:textFill>
            <w14:solidFill>
              <w14:schemeClr w14:val="tx1"/>
            </w14:solidFill>
          </w14:textFill>
        </w:rPr>
      </w:pPr>
      <w:bookmarkStart w:id="10" w:name="_Toc516087079"/>
      <w:r>
        <w:rPr>
          <w:rFonts w:ascii="Times New Roman" w:hAnsi="Times New Roman" w:cs="Times New Roman"/>
          <w:color w:val="000000" w:themeColor="text1"/>
          <w:sz w:val="28"/>
          <w:szCs w:val="28"/>
          <w14:textFill>
            <w14:solidFill>
              <w14:schemeClr w14:val="tx1"/>
            </w14:solidFill>
          </w14:textFill>
        </w:rPr>
        <w:br w:type="column"/>
      </w:r>
      <w:r>
        <w:rPr>
          <w:rFonts w:ascii="Times New Roman" w:hAnsi="Times New Roman" w:cs="Times New Roman"/>
          <w:color w:val="000000" w:themeColor="text1"/>
          <w:sz w:val="28"/>
          <w:szCs w:val="28"/>
          <w14:textFill>
            <w14:solidFill>
              <w14:schemeClr w14:val="tx1"/>
            </w14:solidFill>
          </w14:textFill>
        </w:rPr>
        <w:t xml:space="preserve">表七  </w:t>
      </w:r>
      <w:r>
        <w:rPr>
          <w:rFonts w:ascii="Times New Roman" w:hAnsi="Times New Roman" w:eastAsia="宋体" w:cs="Times New Roman"/>
          <w:color w:val="000000" w:themeColor="text1"/>
          <w:sz w:val="28"/>
          <w:szCs w:val="28"/>
          <w14:textFill>
            <w14:solidFill>
              <w14:schemeClr w14:val="tx1"/>
            </w14:solidFill>
          </w14:textFill>
        </w:rPr>
        <w:t>验收监测期间生产工况记录及验收监测结果</w:t>
      </w:r>
      <w:bookmarkEnd w:id="10"/>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jc w:val="center"/>
        </w:trPr>
        <w:tc>
          <w:tcPr>
            <w:tcW w:w="5000" w:type="pct"/>
          </w:tcPr>
          <w:p>
            <w:pPr>
              <w:spacing w:beforeLines="20" w:line="36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验收监测期间生产工况记录：</w:t>
            </w:r>
          </w:p>
          <w:p>
            <w:pPr>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在验收监测期间，</w:t>
            </w:r>
            <w:r>
              <w:rPr>
                <w:rFonts w:hint="eastAsia" w:ascii="Times New Roman" w:hAnsi="Times New Roman" w:cs="Times New Roman"/>
                <w:sz w:val="24"/>
                <w:szCs w:val="24"/>
                <w:lang w:eastAsia="zh-CN"/>
              </w:rPr>
              <w:t>山东新中鲁中医医院有限公司新建中医医院项目</w:t>
            </w:r>
            <w:r>
              <w:rPr>
                <w:rFonts w:ascii="Times New Roman" w:hAnsi="Times New Roman" w:cs="Times New Roman"/>
                <w:sz w:val="24"/>
                <w:szCs w:val="24"/>
              </w:rPr>
              <w:t>，</w:t>
            </w:r>
            <w:r>
              <w:rPr>
                <w:rFonts w:hint="eastAsia" w:ascii="Times New Roman" w:hAnsi="Times New Roman" w:cs="Times New Roman"/>
                <w:sz w:val="24"/>
                <w:szCs w:val="24"/>
              </w:rPr>
              <w:t>建设完成，运行稳定。验收监测期间，实际运行负荷满足验收监测应在工况稳定</w:t>
            </w:r>
            <w:r>
              <w:rPr>
                <w:rFonts w:ascii="Times New Roman" w:hAnsi="Times New Roman" w:cs="Times New Roman"/>
                <w:sz w:val="24"/>
                <w:szCs w:val="24"/>
              </w:rPr>
              <w:t>。因此，本次监测为有效工况，监测结果能作为该项目竣工环境保护验收依据。</w:t>
            </w:r>
          </w:p>
          <w:p>
            <w:pPr>
              <w:spacing w:beforeLines="20" w:line="360" w:lineRule="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验收监测结果：</w:t>
            </w:r>
          </w:p>
          <w:p>
            <w:pPr>
              <w:spacing w:line="360" w:lineRule="auto"/>
              <w:rPr>
                <w:rFonts w:ascii="Times New Roman" w:hAnsi="Times New Roman" w:eastAsia="宋体" w:cs="Times New Roman"/>
                <w:b/>
                <w:spacing w:val="6"/>
                <w:sz w:val="28"/>
                <w:szCs w:val="24"/>
              </w:rPr>
            </w:pPr>
            <w:r>
              <w:rPr>
                <w:rFonts w:ascii="Times New Roman" w:hAnsi="Times New Roman" w:eastAsia="宋体" w:cs="Times New Roman"/>
                <w:b/>
                <w:spacing w:val="6"/>
                <w:sz w:val="28"/>
                <w:szCs w:val="24"/>
              </w:rPr>
              <w:t>一、</w:t>
            </w:r>
            <w:r>
              <w:rPr>
                <w:rFonts w:hint="eastAsia" w:ascii="Times New Roman" w:hAnsi="Times New Roman" w:eastAsia="宋体" w:cs="Times New Roman"/>
                <w:b/>
                <w:spacing w:val="6"/>
                <w:sz w:val="28"/>
                <w:szCs w:val="24"/>
              </w:rPr>
              <w:t>废气</w:t>
            </w:r>
            <w:r>
              <w:rPr>
                <w:rFonts w:ascii="Times New Roman" w:hAnsi="Times New Roman" w:eastAsia="宋体" w:cs="Times New Roman"/>
                <w:b/>
                <w:spacing w:val="6"/>
                <w:sz w:val="28"/>
                <w:szCs w:val="24"/>
              </w:rPr>
              <w:t>监测结果及评价</w:t>
            </w:r>
          </w:p>
          <w:p>
            <w:pPr>
              <w:pStyle w:val="2"/>
              <w:spacing w:line="360" w:lineRule="auto"/>
              <w:ind w:firstLine="480" w:firstLineChars="200"/>
              <w:rPr>
                <w:color w:val="auto"/>
              </w:rPr>
            </w:pPr>
            <w:r>
              <w:rPr>
                <w:color w:val="auto"/>
              </w:rPr>
              <w:t>本项目</w:t>
            </w:r>
            <w:r>
              <w:rPr>
                <w:rFonts w:hint="eastAsia"/>
                <w:color w:val="auto"/>
              </w:rPr>
              <w:t>废气</w:t>
            </w:r>
            <w:r>
              <w:rPr>
                <w:color w:val="auto"/>
              </w:rPr>
              <w:t>监测结果见表7-</w:t>
            </w:r>
            <w:r>
              <w:rPr>
                <w:rFonts w:hint="eastAsia"/>
                <w:color w:val="auto"/>
                <w:lang w:val="en-US" w:eastAsia="zh-CN"/>
              </w:rPr>
              <w:t>1</w:t>
            </w:r>
            <w:r>
              <w:rPr>
                <w:color w:val="auto"/>
              </w:rPr>
              <w:t>。</w:t>
            </w:r>
          </w:p>
          <w:p>
            <w:pPr>
              <w:tabs>
                <w:tab w:val="left" w:pos="2775"/>
                <w:tab w:val="center" w:pos="5164"/>
              </w:tabs>
              <w:spacing w:line="360" w:lineRule="auto"/>
              <w:ind w:firstLine="480"/>
              <w:jc w:val="center"/>
              <w:rPr>
                <w:rFonts w:ascii="Times New Roman" w:hAnsi="Times New Roman" w:cs="Times New Roman"/>
                <w:b/>
                <w:sz w:val="24"/>
                <w:szCs w:val="24"/>
              </w:rPr>
            </w:pPr>
            <w:r>
              <w:rPr>
                <w:rFonts w:ascii="Times New Roman" w:hAnsi="Times New Roman" w:cs="Times New Roman"/>
                <w:b/>
                <w:sz w:val="24"/>
                <w:szCs w:val="24"/>
              </w:rPr>
              <w:t>表7-</w:t>
            </w:r>
            <w:r>
              <w:rPr>
                <w:rFonts w:hint="eastAsia" w:ascii="Times New Roman" w:hAnsi="Times New Roman" w:cs="Times New Roman"/>
                <w:b/>
                <w:sz w:val="24"/>
                <w:szCs w:val="24"/>
                <w:lang w:val="en-US" w:eastAsia="zh-CN"/>
              </w:rPr>
              <w:t>1</w:t>
            </w:r>
            <w:r>
              <w:rPr>
                <w:rFonts w:ascii="Times New Roman" w:hAnsi="Times New Roman" w:cs="Times New Roman"/>
                <w:b/>
                <w:sz w:val="24"/>
                <w:szCs w:val="24"/>
              </w:rPr>
              <w:t xml:space="preserve"> </w:t>
            </w:r>
            <w:r>
              <w:rPr>
                <w:rFonts w:hint="eastAsia" w:ascii="Times New Roman" w:hAnsi="Times New Roman" w:cs="Times New Roman"/>
                <w:b/>
                <w:sz w:val="24"/>
                <w:szCs w:val="24"/>
              </w:rPr>
              <w:t>无</w:t>
            </w:r>
            <w:r>
              <w:rPr>
                <w:rFonts w:ascii="Times New Roman" w:hAnsi="Times New Roman" w:cs="Times New Roman"/>
                <w:b/>
                <w:sz w:val="24"/>
                <w:szCs w:val="24"/>
              </w:rPr>
              <w:t>组织废气监测结果表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206"/>
              <w:gridCol w:w="1206"/>
              <w:gridCol w:w="1166"/>
              <w:gridCol w:w="1168"/>
              <w:gridCol w:w="116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2181" w:type="pct"/>
                  <w:gridSpan w:val="3"/>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w:t>
                  </w:r>
                </w:p>
              </w:tc>
              <w:tc>
                <w:tcPr>
                  <w:tcW w:w="703"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厂区上风向1#</w:t>
                  </w:r>
                </w:p>
              </w:tc>
              <w:tc>
                <w:tcPr>
                  <w:tcW w:w="704"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厂区下风向2#</w:t>
                  </w:r>
                </w:p>
              </w:tc>
              <w:tc>
                <w:tcPr>
                  <w:tcW w:w="704"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厂区下风向3#</w:t>
                  </w:r>
                </w:p>
              </w:tc>
              <w:tc>
                <w:tcPr>
                  <w:tcW w:w="707"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检测</w:t>
                  </w:r>
                  <w:r>
                    <w:rPr>
                      <w:rFonts w:hint="default" w:ascii="Times New Roman" w:hAnsi="Times New Roman" w:eastAsia="宋体" w:cs="Times New Roman"/>
                      <w:bCs/>
                      <w:sz w:val="21"/>
                      <w:szCs w:val="21"/>
                      <w:lang w:val="en-US" w:eastAsia="zh-CN"/>
                    </w:rPr>
                    <w:t>时间</w:t>
                  </w:r>
                </w:p>
              </w:tc>
              <w:tc>
                <w:tcPr>
                  <w:tcW w:w="727"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检测项目</w:t>
                  </w:r>
                </w:p>
              </w:tc>
              <w:tc>
                <w:tcPr>
                  <w:tcW w:w="727"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检测频次</w:t>
                  </w:r>
                </w:p>
              </w:tc>
              <w:tc>
                <w:tcPr>
                  <w:tcW w:w="703"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04"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04"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07"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restart"/>
                  <w:noWrap w:val="0"/>
                  <w:vAlign w:val="center"/>
                </w:tcPr>
                <w:p>
                  <w:pPr>
                    <w:bidi w:val="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2023-01-13</w:t>
                  </w:r>
                </w:p>
              </w:tc>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臭气浓度</w:t>
                  </w:r>
                </w:p>
                <w:p>
                  <w:pPr>
                    <w:bidi w:val="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无量纲</w:t>
                  </w:r>
                  <w:r>
                    <w:rPr>
                      <w:rFonts w:hint="default" w:ascii="Times New Roman" w:hAnsi="Times New Roman" w:cs="Times New Roman"/>
                      <w:sz w:val="21"/>
                      <w:szCs w:val="21"/>
                    </w:rPr>
                    <w:t>）</w:t>
                  </w:r>
                </w:p>
              </w:tc>
              <w:tc>
                <w:tcPr>
                  <w:tcW w:w="727" w:type="pc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第一次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第二次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第三次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第一次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第二次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第三次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2181" w:type="pct"/>
                  <w:gridSpan w:val="3"/>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w:t>
                  </w:r>
                </w:p>
              </w:tc>
              <w:tc>
                <w:tcPr>
                  <w:tcW w:w="703"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污水处理设施上风向5#</w:t>
                  </w:r>
                </w:p>
              </w:tc>
              <w:tc>
                <w:tcPr>
                  <w:tcW w:w="704"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污水处理设施下风向6#</w:t>
                  </w:r>
                </w:p>
              </w:tc>
              <w:tc>
                <w:tcPr>
                  <w:tcW w:w="704"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污水处理设施下风向7#</w:t>
                  </w:r>
                </w:p>
              </w:tc>
              <w:tc>
                <w:tcPr>
                  <w:tcW w:w="707"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污水处理设施下风向8#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检测</w:t>
                  </w:r>
                  <w:r>
                    <w:rPr>
                      <w:rFonts w:hint="default" w:ascii="Times New Roman" w:hAnsi="Times New Roman" w:eastAsia="宋体" w:cs="Times New Roman"/>
                      <w:bCs/>
                      <w:sz w:val="21"/>
                      <w:szCs w:val="21"/>
                      <w:lang w:val="en-US" w:eastAsia="zh-CN"/>
                    </w:rPr>
                    <w:t>时间</w:t>
                  </w:r>
                </w:p>
              </w:tc>
              <w:tc>
                <w:tcPr>
                  <w:tcW w:w="727"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检测项目</w:t>
                  </w:r>
                </w:p>
              </w:tc>
              <w:tc>
                <w:tcPr>
                  <w:tcW w:w="727"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检测频次</w:t>
                  </w:r>
                </w:p>
              </w:tc>
              <w:tc>
                <w:tcPr>
                  <w:tcW w:w="703"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04"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04"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07"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restart"/>
                  <w:noWrap w:val="0"/>
                  <w:vAlign w:val="center"/>
                </w:tcPr>
                <w:p>
                  <w:pPr>
                    <w:bidi w:val="0"/>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2023-01-13</w:t>
                  </w:r>
                </w:p>
              </w:tc>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臭气浓度</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default" w:ascii="Times New Roman" w:hAnsi="Times New Roman" w:eastAsia="宋体" w:cs="Times New Roman"/>
                      <w:sz w:val="21"/>
                      <w:szCs w:val="21"/>
                      <w:lang w:val="en-US" w:eastAsia="zh-CN"/>
                    </w:rPr>
                    <w:t>无量纲</w:t>
                  </w:r>
                  <w:r>
                    <w:rPr>
                      <w:rFonts w:hint="default" w:ascii="Times New Roman" w:hAnsi="Times New Roman" w:cs="Times New Roman"/>
                      <w:sz w:val="21"/>
                      <w:szCs w:val="21"/>
                    </w:rPr>
                    <w:t>）</w:t>
                  </w:r>
                </w:p>
              </w:tc>
              <w:tc>
                <w:tcPr>
                  <w:tcW w:w="727" w:type="pc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第一次</w:t>
                  </w:r>
                </w:p>
              </w:tc>
              <w:tc>
                <w:tcPr>
                  <w:tcW w:w="1166"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73"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第二次</w:t>
                  </w:r>
                </w:p>
              </w:tc>
              <w:tc>
                <w:tcPr>
                  <w:tcW w:w="1166"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73"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第三次</w:t>
                  </w:r>
                </w:p>
              </w:tc>
              <w:tc>
                <w:tcPr>
                  <w:tcW w:w="1166"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c>
                <w:tcPr>
                  <w:tcW w:w="1173"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第一次</w:t>
                  </w:r>
                </w:p>
              </w:tc>
              <w:tc>
                <w:tcPr>
                  <w:tcW w:w="1166"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73"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第二次</w:t>
                  </w:r>
                </w:p>
              </w:tc>
              <w:tc>
                <w:tcPr>
                  <w:tcW w:w="1166"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73"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第三次</w:t>
                  </w:r>
                </w:p>
              </w:tc>
              <w:tc>
                <w:tcPr>
                  <w:tcW w:w="1166"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6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c>
                <w:tcPr>
                  <w:tcW w:w="1173"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2023-01-13</w:t>
                  </w:r>
                </w:p>
              </w:tc>
              <w:tc>
                <w:tcPr>
                  <w:tcW w:w="727" w:type="pct"/>
                  <w:vMerge w:val="restart"/>
                  <w:noWrap w:val="0"/>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硫化氢</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cs="Times New Roman"/>
                      <w:sz w:val="21"/>
                      <w:szCs w:val="21"/>
                      <w:lang w:eastAsia="zh-CN"/>
                    </w:rPr>
                    <w:t>）</w:t>
                  </w:r>
                </w:p>
              </w:tc>
              <w:tc>
                <w:tcPr>
                  <w:tcW w:w="727"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第一次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0.011</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0.013</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第二次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0.013</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第三次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0.010</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第一次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第二次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0.012</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0.013</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第三次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0.010</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0.013</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2023-01-13</w:t>
                  </w:r>
                </w:p>
              </w:tc>
              <w:tc>
                <w:tcPr>
                  <w:tcW w:w="727" w:type="pct"/>
                  <w:vMerge w:val="restar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w:t>
                  </w:r>
                </w:p>
                <w:p>
                  <w:pPr>
                    <w:bidi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r>
                    <w:rPr>
                      <w:rFonts w:hint="default" w:ascii="Times New Roman" w:hAnsi="Times New Roman" w:eastAsia="宋体" w:cs="Times New Roman"/>
                      <w:sz w:val="21"/>
                      <w:szCs w:val="21"/>
                      <w:lang w:val="en-US" w:eastAsia="zh-CN"/>
                    </w:rPr>
                    <w:t>mg/m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c>
                <w:tcPr>
                  <w:tcW w:w="727"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第一次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第二次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第三次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restart"/>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第一次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第二次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727" w:type="pct"/>
                  <w:vMerge w:val="continue"/>
                  <w:noWrap w:val="0"/>
                  <w:vAlign w:val="center"/>
                </w:tcPr>
                <w:p>
                  <w:pPr>
                    <w:bidi w:val="0"/>
                    <w:jc w:val="center"/>
                    <w:rPr>
                      <w:rFonts w:hint="default" w:ascii="Times New Roman" w:hAnsi="Times New Roman" w:eastAsia="宋体" w:cs="Times New Roman"/>
                      <w:sz w:val="21"/>
                      <w:szCs w:val="21"/>
                      <w:lang w:val="en-US" w:eastAsia="zh-CN"/>
                    </w:rPr>
                  </w:pPr>
                </w:p>
              </w:tc>
              <w:tc>
                <w:tcPr>
                  <w:tcW w:w="727" w:type="pct"/>
                  <w:vMerge w:val="continue"/>
                  <w:noWrap w:val="0"/>
                  <w:vAlign w:val="center"/>
                </w:tcPr>
                <w:p>
                  <w:pPr>
                    <w:bidi w:val="0"/>
                    <w:jc w:val="center"/>
                    <w:rPr>
                      <w:rFonts w:hint="default" w:ascii="Times New Roman" w:hAnsi="Times New Roman" w:cs="Times New Roman"/>
                      <w:sz w:val="21"/>
                      <w:szCs w:val="21"/>
                    </w:rPr>
                  </w:pPr>
                </w:p>
              </w:tc>
              <w:tc>
                <w:tcPr>
                  <w:tcW w:w="727" w:type="pct"/>
                  <w:noWrap w:val="0"/>
                  <w:vAlign w:val="center"/>
                </w:tcPr>
                <w:p>
                  <w:pPr>
                    <w:bidi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第三次</w:t>
                  </w:r>
                </w:p>
              </w:tc>
              <w:tc>
                <w:tcPr>
                  <w:tcW w:w="703"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c>
                <w:tcPr>
                  <w:tcW w:w="704"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c>
                <w:tcPr>
                  <w:tcW w:w="707"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r>
          </w:tbl>
          <w:p>
            <w:pPr>
              <w:snapToGrid w:val="0"/>
              <w:spacing w:beforeLines="50" w:line="360" w:lineRule="auto"/>
              <w:ind w:firstLine="482" w:firstLineChars="200"/>
              <w:jc w:val="left"/>
              <w:rPr>
                <w:rFonts w:ascii="Times New Roman" w:hAnsi="Times New Roman" w:eastAsia="宋体" w:cs="Times New Roman"/>
                <w:sz w:val="24"/>
                <w:szCs w:val="24"/>
              </w:rPr>
            </w:pPr>
            <w:r>
              <w:rPr>
                <w:rFonts w:ascii="Times New Roman" w:hAnsi="Times New Roman" w:cs="Times New Roman"/>
                <w:b/>
                <w:bCs/>
                <w:color w:val="000000" w:themeColor="text1"/>
                <w:sz w:val="24"/>
                <w:szCs w:val="24"/>
                <w14:textFill>
                  <w14:solidFill>
                    <w14:schemeClr w14:val="tx1"/>
                  </w14:solidFill>
                </w14:textFill>
              </w:rPr>
              <w:t>废气监测结果评价：</w:t>
            </w:r>
            <w:r>
              <w:rPr>
                <w:rFonts w:ascii="Times New Roman" w:hAnsi="Times New Roman" w:cs="Times New Roman"/>
                <w:color w:val="000000" w:themeColor="text1"/>
                <w:sz w:val="24"/>
                <w:szCs w:val="24"/>
                <w14:textFill>
                  <w14:solidFill>
                    <w14:schemeClr w14:val="tx1"/>
                  </w14:solidFill>
                </w14:textFill>
              </w:rPr>
              <w:t>验收监测期</w:t>
            </w:r>
            <w:r>
              <w:rPr>
                <w:rFonts w:hint="eastAsia" w:ascii="Times New Roman" w:hAnsi="Times New Roman" w:cs="Times New Roman"/>
                <w:color w:val="000000" w:themeColor="text1"/>
                <w:sz w:val="24"/>
                <w:szCs w:val="24"/>
                <w14:textFill>
                  <w14:solidFill>
                    <w14:schemeClr w14:val="tx1"/>
                  </w14:solidFill>
                </w14:textFill>
              </w:rPr>
              <w:t>间，</w:t>
            </w:r>
            <w:r>
              <w:rPr>
                <w:rFonts w:hint="eastAsia" w:ascii="Times New Roman" w:hAnsi="Times New Roman" w:cs="Times New Roman"/>
                <w:color w:val="000000" w:themeColor="text1"/>
                <w:sz w:val="24"/>
                <w:szCs w:val="24"/>
                <w:lang w:eastAsia="zh-CN"/>
                <w14:textFill>
                  <w14:solidFill>
                    <w14:schemeClr w14:val="tx1"/>
                  </w14:solidFill>
                </w14:textFill>
              </w:rPr>
              <w:t>厂界无组织废气臭气浓度未检出，满足</w:t>
            </w:r>
            <w:r>
              <w:rPr>
                <w:rFonts w:hint="default" w:ascii="Times New Roman" w:hAnsi="Times New Roman" w:eastAsia="宋体" w:cs="Times New Roman"/>
                <w:color w:val="000000"/>
                <w:sz w:val="24"/>
                <w:szCs w:val="24"/>
                <w:highlight w:val="none"/>
                <w:lang w:val="en-US" w:eastAsia="zh-CN"/>
              </w:rPr>
              <w:t>《恶臭污染物排放标准》（GB14554-93）表1</w:t>
            </w:r>
            <w:r>
              <w:rPr>
                <w:rFonts w:hint="eastAsia" w:ascii="Times New Roman" w:hAnsi="Times New Roman" w:eastAsia="宋体" w:cs="Times New Roman"/>
                <w:color w:val="000000"/>
                <w:sz w:val="24"/>
                <w:szCs w:val="24"/>
                <w:highlight w:val="none"/>
                <w:lang w:val="en-US" w:eastAsia="zh-CN"/>
              </w:rPr>
              <w:t>标准限值</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sz w:val="24"/>
                <w:szCs w:val="24"/>
              </w:rPr>
              <w:t>无组织废气</w:t>
            </w:r>
            <w:r>
              <w:rPr>
                <w:rFonts w:hint="eastAsia" w:ascii="Times New Roman" w:hAnsi="Times New Roman" w:cs="Times New Roman"/>
                <w:color w:val="000000" w:themeColor="text1"/>
                <w:sz w:val="24"/>
                <w:szCs w:val="24"/>
                <w:lang w:eastAsia="zh-CN"/>
                <w14:textFill>
                  <w14:solidFill>
                    <w14:schemeClr w14:val="tx1"/>
                  </w14:solidFill>
                </w14:textFill>
              </w:rPr>
              <w:t>污水处理站下风向</w:t>
            </w:r>
            <w:r>
              <w:rPr>
                <w:rFonts w:hint="eastAsia" w:ascii="Times New Roman" w:hAnsi="Times New Roman" w:cs="Times New Roman"/>
                <w:color w:val="000000" w:themeColor="text1"/>
                <w:sz w:val="24"/>
                <w:szCs w:val="24"/>
                <w14:textFill>
                  <w14:solidFill>
                    <w14:schemeClr w14:val="tx1"/>
                  </w14:solidFill>
                </w14:textFill>
              </w:rPr>
              <w:t>氨最</w:t>
            </w:r>
            <w:r>
              <w:rPr>
                <w:rFonts w:hint="eastAsia" w:ascii="Times New Roman" w:hAnsi="Times New Roman" w:cs="Times New Roman"/>
                <w:sz w:val="24"/>
                <w:szCs w:val="24"/>
              </w:rPr>
              <w:t>大浓度为0.</w:t>
            </w:r>
            <w:r>
              <w:rPr>
                <w:rFonts w:hint="eastAsia" w:ascii="Times New Roman" w:hAnsi="Times New Roman" w:cs="Times New Roman"/>
                <w:sz w:val="24"/>
                <w:szCs w:val="24"/>
                <w:lang w:val="en-US" w:eastAsia="zh-CN"/>
              </w:rPr>
              <w:t>06</w:t>
            </w:r>
            <w:r>
              <w:rPr>
                <w:rFonts w:hint="eastAsia" w:ascii="Times New Roman" w:hAnsi="Times New Roman" w:cs="Times New Roman"/>
                <w:sz w:val="24"/>
                <w:szCs w:val="24"/>
              </w:rPr>
              <w:t>mg/m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；臭气浓度</w:t>
            </w:r>
            <w:r>
              <w:rPr>
                <w:rFonts w:hint="eastAsia" w:ascii="Times New Roman" w:hAnsi="Times New Roman" w:cs="Times New Roman"/>
                <w:sz w:val="24"/>
                <w:szCs w:val="24"/>
                <w:lang w:eastAsia="zh-CN"/>
              </w:rPr>
              <w:t>未检出</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硫化氢</w:t>
            </w:r>
            <w:r>
              <w:rPr>
                <w:rFonts w:hint="eastAsia" w:ascii="Times New Roman" w:hAnsi="Times New Roman" w:cs="Times New Roman"/>
                <w:sz w:val="24"/>
                <w:szCs w:val="24"/>
              </w:rPr>
              <w:t>最大浓度为</w:t>
            </w:r>
            <w:r>
              <w:rPr>
                <w:rFonts w:hint="eastAsia" w:ascii="Times New Roman" w:hAnsi="Times New Roman" w:cs="Times New Roman"/>
                <w:sz w:val="24"/>
                <w:szCs w:val="24"/>
                <w:lang w:val="en-US" w:eastAsia="zh-CN"/>
              </w:rPr>
              <w:t>0.014</w:t>
            </w:r>
            <w:r>
              <w:rPr>
                <w:rFonts w:hint="eastAsia" w:ascii="Times New Roman" w:hAnsi="Times New Roman" w:cs="Times New Roman"/>
                <w:sz w:val="24"/>
                <w:szCs w:val="24"/>
              </w:rPr>
              <w:t>mg/m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《山东省医疗机构污染物排放控制标准》(DB37/596-2020)表2要求</w:t>
            </w:r>
            <w:r>
              <w:rPr>
                <w:rFonts w:hint="eastAsia" w:ascii="Times New Roman" w:hAnsi="Times New Roman" w:cs="Times New Roman"/>
                <w:sz w:val="24"/>
                <w:szCs w:val="24"/>
              </w:rPr>
              <w:t>污水处理站周围大气污染物最高允许排放浓度要求</w:t>
            </w:r>
            <w:r>
              <w:rPr>
                <w:rFonts w:hint="eastAsia" w:ascii="Times New Roman" w:hAnsi="Times New Roman" w:eastAsia="宋体" w:cs="Times New Roman"/>
                <w:sz w:val="24"/>
                <w:szCs w:val="24"/>
              </w:rPr>
              <w:t>。</w:t>
            </w:r>
          </w:p>
          <w:p>
            <w:pPr>
              <w:spacing w:line="360" w:lineRule="auto"/>
              <w:rPr>
                <w:rFonts w:ascii="Times New Roman" w:hAnsi="Times New Roman" w:eastAsia="宋体" w:cs="Times New Roman"/>
                <w:b/>
                <w:spacing w:val="6"/>
                <w:sz w:val="28"/>
                <w:szCs w:val="24"/>
              </w:rPr>
            </w:pPr>
            <w:r>
              <w:rPr>
                <w:rFonts w:hint="eastAsia" w:ascii="Times New Roman" w:hAnsi="Times New Roman" w:eastAsia="宋体" w:cs="Times New Roman"/>
                <w:b/>
                <w:spacing w:val="6"/>
                <w:sz w:val="28"/>
                <w:szCs w:val="24"/>
              </w:rPr>
              <w:t>二</w:t>
            </w:r>
            <w:r>
              <w:rPr>
                <w:rFonts w:ascii="Times New Roman" w:hAnsi="Times New Roman" w:eastAsia="宋体" w:cs="Times New Roman"/>
                <w:b/>
                <w:spacing w:val="6"/>
                <w:sz w:val="28"/>
                <w:szCs w:val="24"/>
              </w:rPr>
              <w:t>、废</w:t>
            </w:r>
            <w:r>
              <w:rPr>
                <w:rFonts w:hint="eastAsia" w:ascii="Times New Roman" w:hAnsi="Times New Roman" w:eastAsia="宋体" w:cs="Times New Roman"/>
                <w:b/>
                <w:spacing w:val="6"/>
                <w:sz w:val="28"/>
                <w:szCs w:val="24"/>
              </w:rPr>
              <w:t>水</w:t>
            </w:r>
            <w:r>
              <w:rPr>
                <w:rFonts w:ascii="Times New Roman" w:hAnsi="Times New Roman" w:eastAsia="宋体" w:cs="Times New Roman"/>
                <w:b/>
                <w:spacing w:val="6"/>
                <w:sz w:val="28"/>
                <w:szCs w:val="24"/>
              </w:rPr>
              <w:t>监测结果及评价</w:t>
            </w:r>
          </w:p>
          <w:p>
            <w:pPr>
              <w:snapToGrid w:val="0"/>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本项目废水监测结果见表7-</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rPr>
              <w:t>。</w:t>
            </w:r>
          </w:p>
          <w:p>
            <w:pPr>
              <w:tabs>
                <w:tab w:val="left" w:pos="2775"/>
                <w:tab w:val="center" w:pos="5164"/>
              </w:tabs>
              <w:spacing w:line="360" w:lineRule="auto"/>
              <w:ind w:firstLine="480"/>
              <w:jc w:val="center"/>
              <w:rPr>
                <w:rFonts w:hint="eastAsia" w:ascii="Times New Roman" w:hAnsi="Times New Roman" w:cs="Times New Roman"/>
                <w:b/>
                <w:sz w:val="24"/>
                <w:szCs w:val="24"/>
              </w:rPr>
            </w:pPr>
            <w:r>
              <w:rPr>
                <w:rFonts w:hint="eastAsia" w:ascii="Times New Roman" w:hAnsi="Times New Roman" w:cs="Times New Roman"/>
                <w:b/>
                <w:sz w:val="24"/>
                <w:szCs w:val="24"/>
              </w:rPr>
              <w:t>表7-</w:t>
            </w:r>
            <w:r>
              <w:rPr>
                <w:rFonts w:hint="eastAsia" w:ascii="Times New Roman" w:hAnsi="Times New Roman" w:cs="Times New Roman"/>
                <w:b/>
                <w:sz w:val="24"/>
                <w:szCs w:val="24"/>
                <w:lang w:val="en-US" w:eastAsia="zh-CN"/>
              </w:rPr>
              <w:t>2</w:t>
            </w:r>
            <w:r>
              <w:rPr>
                <w:rFonts w:hint="eastAsia" w:ascii="Times New Roman" w:hAnsi="Times New Roman" w:cs="Times New Roman"/>
                <w:b/>
                <w:sz w:val="24"/>
                <w:szCs w:val="24"/>
              </w:rPr>
              <w:t xml:space="preserve"> 废水监测结果表</w:t>
            </w:r>
          </w:p>
          <w:tbl>
            <w:tblPr>
              <w:tblStyle w:val="30"/>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194"/>
              <w:gridCol w:w="969"/>
              <w:gridCol w:w="969"/>
              <w:gridCol w:w="969"/>
              <w:gridCol w:w="969"/>
              <w:gridCol w:w="937"/>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1428" w:type="pct"/>
                  <w:gridSpan w:val="2"/>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w:t>
                  </w:r>
                </w:p>
              </w:tc>
              <w:tc>
                <w:tcPr>
                  <w:tcW w:w="3571" w:type="pct"/>
                  <w:gridSpan w:val="6"/>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688" w:type="pct"/>
                  <w:noWrap w:val="0"/>
                  <w:vAlign w:val="center"/>
                </w:tcPr>
                <w:p>
                  <w:pPr>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eastAsia="zh-CN"/>
                    </w:rPr>
                    <w:t>检测项目</w:t>
                  </w:r>
                </w:p>
              </w:tc>
              <w:tc>
                <w:tcPr>
                  <w:tcW w:w="740"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eastAsia="zh-CN"/>
                    </w:rPr>
                    <w:t>检测</w:t>
                  </w:r>
                  <w:r>
                    <w:rPr>
                      <w:rFonts w:hint="default" w:ascii="Times New Roman" w:hAnsi="Times New Roman" w:eastAsia="宋体" w:cs="Times New Roman"/>
                      <w:bCs/>
                      <w:sz w:val="21"/>
                      <w:szCs w:val="21"/>
                      <w:lang w:val="en-US" w:eastAsia="zh-CN"/>
                    </w:rPr>
                    <w:t>时间</w:t>
                  </w:r>
                </w:p>
              </w:tc>
              <w:tc>
                <w:tcPr>
                  <w:tcW w:w="6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第一次</w:t>
                  </w:r>
                </w:p>
              </w:tc>
              <w:tc>
                <w:tcPr>
                  <w:tcW w:w="60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第二次</w:t>
                  </w:r>
                </w:p>
              </w:tc>
              <w:tc>
                <w:tcPr>
                  <w:tcW w:w="601"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第三次</w:t>
                  </w:r>
                </w:p>
              </w:tc>
              <w:tc>
                <w:tcPr>
                  <w:tcW w:w="601"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第四次</w:t>
                  </w:r>
                </w:p>
              </w:tc>
              <w:tc>
                <w:tcPr>
                  <w:tcW w:w="581"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FF"/>
                      <w:sz w:val="21"/>
                      <w:szCs w:val="21"/>
                      <w:lang w:val="en-US" w:eastAsia="zh-CN"/>
                    </w:rPr>
                    <w:t>日均值</w:t>
                  </w:r>
                </w:p>
              </w:tc>
              <w:tc>
                <w:tcPr>
                  <w:tcW w:w="585"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688" w:type="pct"/>
                  <w:vMerge w:val="restar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pH值</w:t>
                  </w:r>
                </w:p>
              </w:tc>
              <w:tc>
                <w:tcPr>
                  <w:tcW w:w="740" w:type="pct"/>
                  <w:noWrap w:val="0"/>
                  <w:vAlign w:val="center"/>
                </w:tcPr>
                <w:p>
                  <w:pPr>
                    <w:spacing w:before="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7.4</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w:t>
                  </w:r>
                </w:p>
              </w:tc>
              <w:tc>
                <w:tcPr>
                  <w:tcW w:w="581" w:type="pct"/>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7.3</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40" w:type="pct"/>
                  <w:noWrap w:val="0"/>
                  <w:vAlign w:val="center"/>
                </w:tcPr>
                <w:p>
                  <w:pPr>
                    <w:spacing w:before="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7.3</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7.3</w:t>
                  </w:r>
                </w:p>
              </w:tc>
              <w:tc>
                <w:tcPr>
                  <w:tcW w:w="601" w:type="pct"/>
                  <w:noWrap w:val="0"/>
                  <w:vAlign w:val="center"/>
                </w:tcPr>
                <w:p>
                  <w:pPr>
                    <w:spacing w:line="24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w:t>
                  </w:r>
                </w:p>
              </w:tc>
              <w:tc>
                <w:tcPr>
                  <w:tcW w:w="581" w:type="pct"/>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7.3</w:t>
                  </w:r>
                </w:p>
              </w:tc>
              <w:tc>
                <w:tcPr>
                  <w:tcW w:w="585"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restar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COD</w:t>
                  </w:r>
                  <w:r>
                    <w:rPr>
                      <w:rFonts w:hint="default" w:ascii="Times New Roman" w:hAnsi="Times New Roman" w:eastAsia="宋体" w:cs="Times New Roman"/>
                      <w:sz w:val="21"/>
                      <w:szCs w:val="21"/>
                      <w:vertAlign w:val="subscript"/>
                      <w:lang w:val="en-US" w:eastAsia="zh-CN"/>
                    </w:rPr>
                    <w:t>Cr</w:t>
                  </w:r>
                </w:p>
              </w:tc>
              <w:tc>
                <w:tcPr>
                  <w:tcW w:w="740" w:type="pct"/>
                  <w:noWrap w:val="0"/>
                  <w:vAlign w:val="center"/>
                </w:tcPr>
                <w:p>
                  <w:pPr>
                    <w:spacing w:before="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68</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75</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72</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40" w:type="pct"/>
                  <w:noWrap w:val="0"/>
                  <w:vAlign w:val="center"/>
                </w:tcPr>
                <w:p>
                  <w:pPr>
                    <w:spacing w:before="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69</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66</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70 </w:t>
                  </w:r>
                </w:p>
              </w:tc>
              <w:tc>
                <w:tcPr>
                  <w:tcW w:w="585"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restart"/>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BOD</w:t>
                  </w:r>
                  <w:r>
                    <w:rPr>
                      <w:rFonts w:hint="default" w:ascii="Times New Roman" w:hAnsi="Times New Roman" w:eastAsia="宋体" w:cs="Times New Roman"/>
                      <w:sz w:val="21"/>
                      <w:szCs w:val="21"/>
                      <w:vertAlign w:val="subscript"/>
                      <w:lang w:val="en-US" w:eastAsia="zh-CN"/>
                    </w:rPr>
                    <w:t>5</w:t>
                  </w:r>
                </w:p>
              </w:tc>
              <w:tc>
                <w:tcPr>
                  <w:tcW w:w="740" w:type="pct"/>
                  <w:noWrap w:val="0"/>
                  <w:vAlign w:val="center"/>
                </w:tcPr>
                <w:p>
                  <w:pPr>
                    <w:spacing w:before="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21.6</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22.8</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20.6</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22.3</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21.8 </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continue"/>
                  <w:noWrap w:val="0"/>
                  <w:vAlign w:val="center"/>
                </w:tcPr>
                <w:p>
                  <w:pPr>
                    <w:jc w:val="center"/>
                    <w:rPr>
                      <w:rFonts w:hint="default" w:ascii="Times New Roman" w:hAnsi="Times New Roman" w:eastAsia="宋体" w:cs="Times New Roman"/>
                      <w:sz w:val="21"/>
                      <w:szCs w:val="21"/>
                      <w:lang w:val="en-US" w:eastAsia="zh-CN"/>
                    </w:rPr>
                  </w:pPr>
                </w:p>
              </w:tc>
              <w:tc>
                <w:tcPr>
                  <w:tcW w:w="740" w:type="pct"/>
                  <w:noWrap w:val="0"/>
                  <w:vAlign w:val="center"/>
                </w:tcPr>
                <w:p>
                  <w:pPr>
                    <w:spacing w:before="5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21.0</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21.6</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23.1</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22.0 </w:t>
                  </w:r>
                </w:p>
              </w:tc>
              <w:tc>
                <w:tcPr>
                  <w:tcW w:w="585"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restart"/>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悬浮物</w:t>
                  </w:r>
                </w:p>
              </w:tc>
              <w:tc>
                <w:tcPr>
                  <w:tcW w:w="740" w:type="pct"/>
                  <w:noWrap w:val="0"/>
                  <w:vAlign w:val="center"/>
                </w:tcPr>
                <w:p>
                  <w:pPr>
                    <w:spacing w:before="5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26</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24</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24 </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continue"/>
                  <w:noWrap w:val="0"/>
                  <w:vAlign w:val="center"/>
                </w:tcPr>
                <w:p>
                  <w:pPr>
                    <w:jc w:val="center"/>
                    <w:rPr>
                      <w:rFonts w:hint="default" w:ascii="Times New Roman" w:hAnsi="Times New Roman" w:eastAsia="宋体" w:cs="Times New Roman"/>
                      <w:kern w:val="0"/>
                      <w:sz w:val="21"/>
                      <w:szCs w:val="21"/>
                      <w:lang w:val="en-US" w:eastAsia="zh-CN"/>
                    </w:rPr>
                  </w:pPr>
                </w:p>
              </w:tc>
              <w:tc>
                <w:tcPr>
                  <w:tcW w:w="740" w:type="pct"/>
                  <w:noWrap w:val="0"/>
                  <w:vAlign w:val="center"/>
                </w:tcPr>
                <w:p>
                  <w:pPr>
                    <w:spacing w:before="5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26</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24 </w:t>
                  </w:r>
                </w:p>
              </w:tc>
              <w:tc>
                <w:tcPr>
                  <w:tcW w:w="585"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restart"/>
                  <w:noWrap w:val="0"/>
                  <w:vAlign w:val="center"/>
                </w:tcPr>
                <w:p>
                  <w:pPr>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氨氮</w:t>
                  </w:r>
                </w:p>
              </w:tc>
              <w:tc>
                <w:tcPr>
                  <w:tcW w:w="740" w:type="pct"/>
                  <w:noWrap w:val="0"/>
                  <w:vAlign w:val="center"/>
                </w:tcPr>
                <w:p>
                  <w:pPr>
                    <w:spacing w:before="5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1.45</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1.64</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1.52 </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continue"/>
                  <w:noWrap w:val="0"/>
                  <w:vAlign w:val="center"/>
                </w:tcPr>
                <w:p>
                  <w:pPr>
                    <w:jc w:val="center"/>
                    <w:rPr>
                      <w:rFonts w:hint="default" w:ascii="Times New Roman" w:hAnsi="Times New Roman" w:eastAsia="宋体" w:cs="Times New Roman"/>
                      <w:kern w:val="0"/>
                      <w:sz w:val="21"/>
                      <w:szCs w:val="21"/>
                      <w:lang w:val="en-US" w:eastAsia="zh-CN"/>
                    </w:rPr>
                  </w:pPr>
                </w:p>
              </w:tc>
              <w:tc>
                <w:tcPr>
                  <w:tcW w:w="740" w:type="pct"/>
                  <w:noWrap w:val="0"/>
                  <w:vAlign w:val="center"/>
                </w:tcPr>
                <w:p>
                  <w:pPr>
                    <w:spacing w:before="5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1.48</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1.57</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1.39</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1.52</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 xml:space="preserve">1.49 </w:t>
                  </w:r>
                </w:p>
              </w:tc>
              <w:tc>
                <w:tcPr>
                  <w:tcW w:w="585" w:type="pct"/>
                  <w:vMerge w:val="continue"/>
                  <w:noWrap w:val="0"/>
                  <w:vAlign w:val="center"/>
                </w:tcPr>
                <w:p>
                  <w:pPr>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restart"/>
                  <w:noWrap w:val="0"/>
                  <w:vAlign w:val="center"/>
                </w:tcPr>
                <w:p>
                  <w:pPr>
                    <w:spacing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粪大肠菌群</w:t>
                  </w:r>
                </w:p>
              </w:tc>
              <w:tc>
                <w:tcPr>
                  <w:tcW w:w="740" w:type="pct"/>
                  <w:noWrap w:val="0"/>
                  <w:vAlign w:val="center"/>
                </w:tcPr>
                <w:p>
                  <w:pPr>
                    <w:spacing w:before="5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1.2×10</w:t>
                  </w:r>
                  <w:r>
                    <w:rPr>
                      <w:rFonts w:hint="default" w:ascii="Times New Roman" w:hAnsi="Times New Roman" w:eastAsia="宋体" w:cs="Times New Roman"/>
                      <w:color w:val="0000FF"/>
                      <w:kern w:val="2"/>
                      <w:sz w:val="21"/>
                      <w:szCs w:val="21"/>
                      <w:vertAlign w:val="superscript"/>
                      <w:lang w:val="en-US" w:eastAsia="zh-CN" w:bidi="ar-SA"/>
                    </w:rPr>
                    <w:t>2</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Cs/>
                      <w:sz w:val="21"/>
                      <w:szCs w:val="21"/>
                      <w:lang w:val="en-US" w:eastAsia="zh-CN"/>
                    </w:rPr>
                    <w:t>MPN/L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97" w:hRule="atLeast"/>
                <w:jc w:val="center"/>
              </w:trPr>
              <w:tc>
                <w:tcPr>
                  <w:tcW w:w="688" w:type="pct"/>
                  <w:vMerge w:val="continue"/>
                  <w:noWrap w:val="0"/>
                  <w:vAlign w:val="center"/>
                </w:tcPr>
                <w:p>
                  <w:pPr>
                    <w:spacing w:line="240" w:lineRule="auto"/>
                    <w:jc w:val="center"/>
                    <w:rPr>
                      <w:rFonts w:hint="default" w:ascii="Times New Roman" w:hAnsi="Times New Roman" w:eastAsia="宋体" w:cs="Times New Roman"/>
                      <w:bCs/>
                      <w:sz w:val="21"/>
                      <w:szCs w:val="21"/>
                      <w:lang w:val="en-US" w:eastAsia="zh-CN"/>
                    </w:rPr>
                  </w:pPr>
                </w:p>
              </w:tc>
              <w:tc>
                <w:tcPr>
                  <w:tcW w:w="740" w:type="pct"/>
                  <w:noWrap w:val="0"/>
                  <w:vAlign w:val="center"/>
                </w:tcPr>
                <w:p>
                  <w:pPr>
                    <w:spacing w:before="50"/>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vertAlign w:val="superscript"/>
                      <w:lang w:val="en-US" w:eastAsia="zh-CN"/>
                    </w:rPr>
                    <w:t>2</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2"/>
                      <w:sz w:val="21"/>
                      <w:szCs w:val="21"/>
                      <w:lang w:val="en-US" w:eastAsia="zh-CN" w:bidi="ar-SA"/>
                    </w:rPr>
                    <w:t>1.3×10</w:t>
                  </w:r>
                  <w:r>
                    <w:rPr>
                      <w:rFonts w:hint="default" w:ascii="Times New Roman" w:hAnsi="Times New Roman" w:eastAsia="宋体" w:cs="Times New Roman"/>
                      <w:color w:val="0000FF"/>
                      <w:kern w:val="2"/>
                      <w:sz w:val="21"/>
                      <w:szCs w:val="21"/>
                      <w:vertAlign w:val="superscript"/>
                      <w:lang w:val="en-US" w:eastAsia="zh-CN" w:bidi="ar-SA"/>
                    </w:rPr>
                    <w:t>2</w:t>
                  </w:r>
                </w:p>
              </w:tc>
              <w:tc>
                <w:tcPr>
                  <w:tcW w:w="585" w:type="pct"/>
                  <w:vMerge w:val="continue"/>
                  <w:noWrap w:val="0"/>
                  <w:vAlign w:val="center"/>
                </w:tcPr>
                <w:p>
                  <w:pPr>
                    <w:jc w:val="center"/>
                    <w:rPr>
                      <w:rFonts w:hint="default" w:ascii="Times New Roman" w:hAnsi="Times New Roman" w:eastAsia="宋体" w:cs="Times New Roman"/>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688"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总余氯</w:t>
                  </w:r>
                </w:p>
              </w:tc>
              <w:tc>
                <w:tcPr>
                  <w:tcW w:w="740" w:type="pct"/>
                  <w:noWrap w:val="0"/>
                  <w:vAlign w:val="center"/>
                </w:tcPr>
                <w:p>
                  <w:pPr>
                    <w:spacing w:before="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2023-01-13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3.50</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3.22</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3.63</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3.43</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3.45</w:t>
                  </w:r>
                </w:p>
              </w:tc>
              <w:tc>
                <w:tcPr>
                  <w:tcW w:w="585" w:type="pct"/>
                  <w:vMerge w:val="restar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6" w:hRule="atLeast"/>
                <w:jc w:val="center"/>
              </w:trPr>
              <w:tc>
                <w:tcPr>
                  <w:tcW w:w="688"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740" w:type="pct"/>
                  <w:noWrap w:val="0"/>
                  <w:vAlign w:val="center"/>
                </w:tcPr>
                <w:p>
                  <w:pPr>
                    <w:spacing w:before="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lang w:val="en-US" w:eastAsia="zh-CN"/>
                    </w:rPr>
                    <w:t>2023-01-14</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3.30</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3.20</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3.45</w:t>
                  </w:r>
                </w:p>
              </w:tc>
              <w:tc>
                <w:tcPr>
                  <w:tcW w:w="601" w:type="pct"/>
                  <w:noWrap w:val="0"/>
                  <w:vAlign w:val="center"/>
                </w:tcPr>
                <w:p>
                  <w:pPr>
                    <w:spacing w:line="24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3.57</w:t>
                  </w:r>
                </w:p>
              </w:tc>
              <w:tc>
                <w:tcPr>
                  <w:tcW w:w="937" w:type="dxa"/>
                  <w:noWrap w:val="0"/>
                  <w:vAlign w:val="center"/>
                </w:tcPr>
                <w:p>
                  <w:pPr>
                    <w:spacing w:line="240" w:lineRule="exact"/>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kern w:val="2"/>
                      <w:sz w:val="21"/>
                      <w:szCs w:val="21"/>
                      <w:lang w:val="en-US" w:eastAsia="zh-CN" w:bidi="ar-SA"/>
                    </w:rPr>
                    <w:t>3.38</w:t>
                  </w:r>
                </w:p>
              </w:tc>
              <w:tc>
                <w:tcPr>
                  <w:tcW w:w="585" w:type="pct"/>
                  <w:vMerge w:val="continue"/>
                  <w:noWrap w:val="0"/>
                  <w:vAlign w:val="center"/>
                </w:tcPr>
                <w:p>
                  <w:pPr>
                    <w:jc w:val="center"/>
                    <w:rPr>
                      <w:rFonts w:hint="default" w:ascii="Times New Roman" w:hAnsi="Times New Roman" w:eastAsia="宋体" w:cs="Times New Roman"/>
                      <w:sz w:val="21"/>
                      <w:szCs w:val="21"/>
                      <w:lang w:val="en-US" w:eastAsia="zh-CN"/>
                    </w:rPr>
                  </w:pPr>
                </w:p>
              </w:tc>
            </w:tr>
          </w:tbl>
          <w:p>
            <w:pPr>
              <w:spacing w:line="360" w:lineRule="auto"/>
              <w:ind w:firstLine="482" w:firstLineChars="200"/>
              <w:jc w:val="left"/>
              <w:rPr>
                <w:rFonts w:ascii="Times New Roman" w:hAnsi="Times New Roman" w:cs="Times New Roman"/>
                <w:sz w:val="24"/>
                <w:szCs w:val="24"/>
              </w:rPr>
            </w:pPr>
            <w:r>
              <w:rPr>
                <w:rFonts w:ascii="Times New Roman" w:hAnsi="Times New Roman" w:cs="Times New Roman"/>
                <w:b/>
                <w:bCs/>
                <w:sz w:val="24"/>
                <w:szCs w:val="24"/>
              </w:rPr>
              <w:t>废</w:t>
            </w:r>
            <w:r>
              <w:rPr>
                <w:rFonts w:hint="eastAsia" w:ascii="Times New Roman" w:hAnsi="Times New Roman" w:cs="Times New Roman"/>
                <w:b/>
                <w:bCs/>
                <w:sz w:val="24"/>
                <w:szCs w:val="24"/>
              </w:rPr>
              <w:t>水</w:t>
            </w:r>
            <w:r>
              <w:rPr>
                <w:rFonts w:ascii="Times New Roman" w:hAnsi="Times New Roman" w:cs="Times New Roman"/>
                <w:b/>
                <w:bCs/>
                <w:sz w:val="24"/>
                <w:szCs w:val="24"/>
              </w:rPr>
              <w:t>监测结果评价</w:t>
            </w:r>
            <w:r>
              <w:rPr>
                <w:rFonts w:ascii="Times New Roman" w:hAnsi="Times New Roman" w:cs="Times New Roman"/>
                <w:sz w:val="24"/>
                <w:szCs w:val="24"/>
              </w:rPr>
              <w:t>：验收监测期间，</w:t>
            </w:r>
            <w:r>
              <w:rPr>
                <w:rFonts w:hint="eastAsia" w:ascii="Times New Roman" w:hAnsi="Times New Roman" w:cs="Times New Roman"/>
                <w:sz w:val="24"/>
                <w:szCs w:val="24"/>
              </w:rPr>
              <w:t>废水排放口pH</w:t>
            </w:r>
            <w:r>
              <w:rPr>
                <w:rFonts w:hint="eastAsia" w:ascii="Times New Roman" w:hAnsi="Times New Roman" w:cs="Times New Roman"/>
                <w:sz w:val="24"/>
                <w:szCs w:val="24"/>
                <w:lang w:eastAsia="zh-CN"/>
              </w:rPr>
              <w:t>为</w:t>
            </w:r>
            <w:r>
              <w:rPr>
                <w:rFonts w:hint="eastAsia" w:ascii="Times New Roman" w:hAnsi="Times New Roman" w:cs="Times New Roman"/>
                <w:color w:val="0000FF"/>
                <w:sz w:val="24"/>
                <w:szCs w:val="24"/>
                <w:lang w:val="en-US" w:eastAsia="zh-CN"/>
              </w:rPr>
              <w:t>7.2~7.4</w:t>
            </w:r>
            <w:r>
              <w:rPr>
                <w:rFonts w:hint="eastAsia" w:ascii="Times New Roman" w:hAnsi="Times New Roman" w:cs="Times New Roman"/>
                <w:color w:val="0000FF"/>
                <w:sz w:val="24"/>
                <w:szCs w:val="24"/>
              </w:rPr>
              <w:t>（无量纲）</w:t>
            </w:r>
            <w:r>
              <w:rPr>
                <w:rFonts w:hint="eastAsia" w:ascii="Times New Roman" w:hAnsi="Times New Roman" w:cs="Times New Roman"/>
                <w:sz w:val="24"/>
                <w:szCs w:val="24"/>
                <w:lang w:val="en-US" w:eastAsia="zh-CN"/>
              </w:rPr>
              <w:t>，</w:t>
            </w:r>
            <w:r>
              <w:rPr>
                <w:rFonts w:hint="eastAsia" w:ascii="Times New Roman" w:hAnsi="Times New Roman" w:cs="Times New Roman"/>
                <w:color w:val="0000FF"/>
                <w:sz w:val="24"/>
                <w:szCs w:val="24"/>
              </w:rPr>
              <w:t>粪大肠菌群</w:t>
            </w:r>
            <w:r>
              <w:rPr>
                <w:rFonts w:hint="eastAsia" w:ascii="Times New Roman" w:hAnsi="Times New Roman" w:cs="Times New Roman"/>
                <w:color w:val="0000FF"/>
                <w:sz w:val="24"/>
                <w:szCs w:val="24"/>
                <w:lang w:eastAsia="zh-CN"/>
              </w:rPr>
              <w:t>为</w:t>
            </w:r>
            <w:r>
              <w:rPr>
                <w:rFonts w:hint="eastAsia" w:ascii="Times New Roman" w:hAnsi="Times New Roman" w:cs="Times New Roman"/>
                <w:sz w:val="24"/>
                <w:szCs w:val="24"/>
                <w:lang w:val="en-US" w:eastAsia="zh-CN"/>
              </w:rPr>
              <w:t>110~</w:t>
            </w:r>
            <w:r>
              <w:rPr>
                <w:rFonts w:hint="eastAsia"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3</w:t>
            </w:r>
            <w:r>
              <w:rPr>
                <w:rFonts w:hint="eastAsia" w:ascii="Times New Roman" w:hAnsi="Times New Roman" w:cs="Times New Roman"/>
                <w:color w:val="0000FF"/>
                <w:sz w:val="24"/>
                <w:szCs w:val="24"/>
              </w:rPr>
              <w:t>0MPN</w:t>
            </w:r>
            <w:r>
              <w:rPr>
                <w:rFonts w:ascii="Times New Roman" w:hAnsi="Times New Roman" w:cs="Times New Roman"/>
                <w:color w:val="0000FF"/>
                <w:sz w:val="24"/>
                <w:szCs w:val="24"/>
              </w:rPr>
              <w:t>/L</w:t>
            </w:r>
            <w:r>
              <w:rPr>
                <w:rFonts w:hint="eastAsia" w:ascii="Times New Roman" w:hAnsi="Times New Roman" w:cs="Times New Roman"/>
                <w:color w:val="0000FF"/>
                <w:sz w:val="24"/>
                <w:szCs w:val="24"/>
                <w:lang w:eastAsia="zh-CN"/>
              </w:rPr>
              <w:t>，</w:t>
            </w:r>
            <w:r>
              <w:rPr>
                <w:rFonts w:hint="eastAsia" w:ascii="Times New Roman" w:hAnsi="Times New Roman" w:cs="Times New Roman"/>
                <w:sz w:val="24"/>
                <w:szCs w:val="24"/>
              </w:rPr>
              <w:t>化学需氧量、氨氮、悬浮物、</w:t>
            </w:r>
            <w:r>
              <w:rPr>
                <w:rFonts w:hint="eastAsia" w:ascii="Times New Roman" w:hAnsi="Times New Roman" w:cs="Times New Roman"/>
                <w:sz w:val="24"/>
                <w:szCs w:val="24"/>
                <w:lang w:val="en-US" w:eastAsia="zh-CN"/>
              </w:rPr>
              <w:t>BOD</w:t>
            </w:r>
            <w:r>
              <w:rPr>
                <w:rFonts w:hint="eastAsia" w:ascii="Times New Roman" w:hAnsi="Times New Roman" w:cs="Times New Roman"/>
                <w:sz w:val="24"/>
                <w:szCs w:val="24"/>
                <w:vertAlign w:val="subscript"/>
                <w:lang w:val="en-US" w:eastAsia="zh-CN"/>
              </w:rPr>
              <w:t>5</w:t>
            </w:r>
            <w:r>
              <w:rPr>
                <w:rFonts w:hint="eastAsia" w:ascii="Times New Roman" w:hAnsi="Times New Roman" w:cs="Times New Roman"/>
                <w:sz w:val="24"/>
                <w:szCs w:val="24"/>
              </w:rPr>
              <w:t>、总余氯的</w:t>
            </w:r>
            <w:r>
              <w:rPr>
                <w:rFonts w:hint="eastAsia" w:ascii="Times New Roman" w:hAnsi="Times New Roman" w:cs="Times New Roman"/>
                <w:color w:val="0000FF"/>
                <w:sz w:val="24"/>
                <w:szCs w:val="24"/>
                <w:lang w:eastAsia="zh-CN"/>
              </w:rPr>
              <w:t>日均</w:t>
            </w:r>
            <w:r>
              <w:rPr>
                <w:rFonts w:hint="eastAsia" w:ascii="Times New Roman" w:hAnsi="Times New Roman" w:cs="Times New Roman"/>
                <w:color w:val="0000FF"/>
                <w:sz w:val="24"/>
                <w:szCs w:val="24"/>
              </w:rPr>
              <w:t>最大排放浓度分别为</w:t>
            </w:r>
            <w:r>
              <w:rPr>
                <w:rFonts w:hint="eastAsia" w:ascii="Times New Roman" w:hAnsi="Times New Roman" w:cs="Times New Roman"/>
                <w:color w:val="0000FF"/>
                <w:sz w:val="24"/>
                <w:szCs w:val="24"/>
                <w:lang w:val="en-US" w:eastAsia="zh-CN"/>
              </w:rPr>
              <w:t>,72</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52</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24</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22.0</w:t>
            </w:r>
            <w:r>
              <w:rPr>
                <w:rFonts w:ascii="Times New Roman" w:hAnsi="Times New Roman" w:cs="Times New Roman"/>
                <w:color w:val="0000FF"/>
                <w:sz w:val="24"/>
                <w:szCs w:val="24"/>
              </w:rPr>
              <w:t>mg/L</w:t>
            </w:r>
            <w:r>
              <w:rPr>
                <w:rFonts w:hint="eastAsia" w:ascii="Times New Roman" w:hAnsi="Times New Roman" w:cs="Times New Roman"/>
                <w:color w:val="0000FF"/>
                <w:sz w:val="24"/>
                <w:szCs w:val="24"/>
                <w:lang w:eastAsia="zh-CN"/>
              </w:rPr>
              <w:t>、</w:t>
            </w:r>
            <w:r>
              <w:rPr>
                <w:rFonts w:hint="eastAsia" w:ascii="Times New Roman" w:hAnsi="Times New Roman" w:cs="Times New Roman"/>
                <w:color w:val="0000FF"/>
                <w:sz w:val="24"/>
                <w:szCs w:val="24"/>
              </w:rPr>
              <w:t>3.</w:t>
            </w:r>
            <w:r>
              <w:rPr>
                <w:rFonts w:hint="eastAsia" w:ascii="Times New Roman" w:hAnsi="Times New Roman" w:cs="Times New Roman"/>
                <w:color w:val="0000FF"/>
                <w:sz w:val="24"/>
                <w:szCs w:val="24"/>
                <w:lang w:val="en-US" w:eastAsia="zh-CN"/>
              </w:rPr>
              <w:t>45</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w:t>
            </w:r>
            <w:r>
              <w:rPr>
                <w:rFonts w:hint="eastAsia" w:ascii="Times New Roman" w:hAnsi="Times New Roman" w:cs="Times New Roman"/>
                <w:color w:val="0000FF"/>
                <w:sz w:val="24"/>
                <w:szCs w:val="24"/>
                <w:lang w:eastAsia="zh-CN"/>
              </w:rPr>
              <w:t>均</w:t>
            </w:r>
            <w:r>
              <w:rPr>
                <w:rFonts w:hint="eastAsia" w:ascii="Times New Roman" w:hAnsi="Times New Roman" w:eastAsia="宋体" w:cs="Times New Roman"/>
                <w:color w:val="0000FF"/>
                <w:sz w:val="24"/>
                <w:szCs w:val="24"/>
              </w:rPr>
              <w:t>满</w:t>
            </w:r>
            <w:r>
              <w:rPr>
                <w:rFonts w:hint="eastAsia" w:ascii="Times New Roman" w:hAnsi="Times New Roman" w:eastAsia="宋体" w:cs="Times New Roman"/>
                <w:sz w:val="24"/>
                <w:szCs w:val="24"/>
              </w:rPr>
              <w:t>足</w:t>
            </w:r>
            <w:r>
              <w:rPr>
                <w:rFonts w:hint="eastAsia" w:ascii="Times New Roman" w:hAnsi="Times New Roman" w:cs="Times New Roman"/>
                <w:sz w:val="24"/>
                <w:szCs w:val="24"/>
              </w:rPr>
              <w:t>《山东省医疗机构污染物排放控制标准》（DB37/596-2020）表1中二级标准、《污水排入城镇下水道水质标准》（GB/T31962-2015）A等级标准及光大水务（济南）有限公司一厂进水水质要求。</w:t>
            </w:r>
          </w:p>
          <w:p>
            <w:pPr>
              <w:spacing w:line="360" w:lineRule="auto"/>
              <w:jc w:val="left"/>
              <w:rPr>
                <w:rFonts w:ascii="Times New Roman" w:hAnsi="Times New Roman" w:eastAsia="宋体" w:cs="Times New Roman"/>
                <w:b/>
                <w:spacing w:val="6"/>
                <w:sz w:val="28"/>
                <w:szCs w:val="24"/>
              </w:rPr>
            </w:pPr>
            <w:r>
              <w:rPr>
                <w:rFonts w:hint="eastAsia" w:ascii="Times New Roman" w:hAnsi="Times New Roman" w:eastAsia="宋体" w:cs="Times New Roman"/>
                <w:b/>
                <w:spacing w:val="6"/>
                <w:sz w:val="28"/>
                <w:szCs w:val="24"/>
              </w:rPr>
              <w:t>三</w:t>
            </w:r>
            <w:r>
              <w:rPr>
                <w:rFonts w:ascii="Times New Roman" w:hAnsi="Times New Roman" w:eastAsia="宋体" w:cs="Times New Roman"/>
                <w:b/>
                <w:spacing w:val="6"/>
                <w:sz w:val="28"/>
                <w:szCs w:val="24"/>
              </w:rPr>
              <w:t>、噪声监测结果及评价</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hint="eastAsia" w:ascii="Times New Roman" w:hAnsi="Times New Roman" w:eastAsia="宋体" w:cs="Times New Roman"/>
                <w:sz w:val="24"/>
                <w:szCs w:val="24"/>
                <w:lang w:eastAsia="zh-CN"/>
              </w:rPr>
              <w:t>厂界</w:t>
            </w:r>
            <w:r>
              <w:rPr>
                <w:rFonts w:ascii="Times New Roman" w:hAnsi="Times New Roman" w:eastAsia="宋体" w:cs="Times New Roman"/>
                <w:sz w:val="24"/>
                <w:szCs w:val="24"/>
              </w:rPr>
              <w:t>噪声监测结果见7-</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表7-</w:t>
            </w:r>
            <w:r>
              <w:rPr>
                <w:rFonts w:hint="eastAsia" w:ascii="Times New Roman" w:hAnsi="Times New Roman" w:cs="Times New Roman"/>
                <w:b/>
                <w:sz w:val="24"/>
                <w:szCs w:val="24"/>
                <w:lang w:val="en-US" w:eastAsia="zh-CN"/>
              </w:rPr>
              <w:t>3</w:t>
            </w:r>
            <w:r>
              <w:rPr>
                <w:rFonts w:ascii="Times New Roman" w:hAnsi="Times New Roman" w:cs="Times New Roman"/>
                <w:b/>
                <w:sz w:val="24"/>
                <w:szCs w:val="24"/>
              </w:rPr>
              <w:t xml:space="preserve">  厂界</w:t>
            </w:r>
            <w:r>
              <w:rPr>
                <w:rFonts w:hint="eastAsia" w:ascii="Times New Roman" w:hAnsi="Times New Roman" w:cs="Times New Roman"/>
                <w:b/>
                <w:sz w:val="24"/>
                <w:szCs w:val="24"/>
              </w:rPr>
              <w:t>昼间</w:t>
            </w:r>
            <w:r>
              <w:rPr>
                <w:rFonts w:ascii="Times New Roman" w:hAnsi="Times New Roman" w:cs="Times New Roman"/>
                <w:b/>
                <w:sz w:val="24"/>
                <w:szCs w:val="24"/>
              </w:rPr>
              <w:t>噪声监测结果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60"/>
              <w:gridCol w:w="1887"/>
              <w:gridCol w:w="369"/>
              <w:gridCol w:w="990"/>
              <w:gridCol w:w="1433"/>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1253" w:type="pct"/>
                  <w:gridSpan w:val="2"/>
                  <w:vMerge w:val="restar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监测点位</w:t>
                  </w:r>
                </w:p>
              </w:tc>
              <w:tc>
                <w:tcPr>
                  <w:tcW w:w="3746" w:type="pct"/>
                  <w:gridSpan w:val="5"/>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监测结果LAeq[dB（A）]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3" w:type="pct"/>
                  <w:gridSpan w:val="2"/>
                  <w:vMerge w:val="continue"/>
                  <w:tcBorders>
                    <w:tl2br w:val="nil"/>
                    <w:tr2bl w:val="nil"/>
                  </w:tcBorders>
                  <w:noWrap/>
                  <w:vAlign w:val="center"/>
                </w:tcPr>
                <w:p>
                  <w:pPr>
                    <w:spacing w:line="240" w:lineRule="exact"/>
                    <w:jc w:val="center"/>
                    <w:rPr>
                      <w:rFonts w:ascii="Times New Roman" w:hAnsi="Times New Roman" w:cs="Times New Roman"/>
                      <w:bCs/>
                    </w:rPr>
                  </w:pPr>
                </w:p>
              </w:tc>
              <w:tc>
                <w:tcPr>
                  <w:tcW w:w="1137"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厂界北1#</w:t>
                  </w:r>
                </w:p>
              </w:tc>
              <w:tc>
                <w:tcPr>
                  <w:tcW w:w="818" w:type="pct"/>
                  <w:gridSpan w:val="2"/>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厂界西2#</w:t>
                  </w:r>
                </w:p>
              </w:tc>
              <w:tc>
                <w:tcPr>
                  <w:tcW w:w="863"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厂界南3#</w:t>
                  </w:r>
                </w:p>
              </w:tc>
              <w:tc>
                <w:tcPr>
                  <w:tcW w:w="927"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厂界东4#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4" w:type="pct"/>
                  <w:vMerge w:val="restart"/>
                  <w:tcBorders>
                    <w:tl2br w:val="nil"/>
                    <w:tr2bl w:val="nil"/>
                  </w:tcBorders>
                  <w:noWrap/>
                  <w:vAlign w:val="center"/>
                </w:tcPr>
                <w:p>
                  <w:pPr>
                    <w:spacing w:line="240" w:lineRule="exact"/>
                    <w:jc w:val="center"/>
                    <w:rPr>
                      <w:rFonts w:hint="eastAsia" w:ascii="Times New Roman" w:hAnsi="Times New Roman" w:cs="Times New Roman" w:eastAsiaTheme="minorEastAsia"/>
                      <w:bCs/>
                      <w:lang w:val="en-US" w:eastAsia="zh-CN"/>
                    </w:rPr>
                  </w:pPr>
                  <w:r>
                    <w:rPr>
                      <w:rFonts w:hint="eastAsia" w:ascii="Times New Roman" w:hAnsi="Times New Roman" w:cs="Times New Roman"/>
                      <w:bCs/>
                    </w:rPr>
                    <w:t>202</w:t>
                  </w:r>
                  <w:r>
                    <w:rPr>
                      <w:rFonts w:hint="eastAsia" w:ascii="Times New Roman" w:hAnsi="Times New Roman" w:cs="Times New Roman"/>
                      <w:bCs/>
                      <w:lang w:val="en-US" w:eastAsia="zh-CN"/>
                    </w:rPr>
                    <w:t>3</w:t>
                  </w:r>
                  <w:r>
                    <w:rPr>
                      <w:rFonts w:hint="eastAsia" w:ascii="Times New Roman" w:hAnsi="Times New Roman" w:cs="Times New Roman"/>
                      <w:bCs/>
                    </w:rPr>
                    <w:t>-1-1</w:t>
                  </w:r>
                  <w:r>
                    <w:rPr>
                      <w:rFonts w:hint="eastAsia" w:ascii="Times New Roman" w:hAnsi="Times New Roman" w:cs="Times New Roman"/>
                      <w:bCs/>
                      <w:lang w:val="en-US" w:eastAsia="zh-CN"/>
                    </w:rPr>
                    <w:t>3</w:t>
                  </w: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09:51</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10:19</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10:31</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54.1</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52.2</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53.5</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22:00</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22:13</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22:24</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44.0</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41.3</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43.1</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restart"/>
                  <w:tcBorders>
                    <w:tl2br w:val="nil"/>
                    <w:tr2bl w:val="nil"/>
                  </w:tcBorders>
                  <w:noWrap/>
                  <w:vAlign w:val="center"/>
                </w:tcPr>
                <w:p>
                  <w:pPr>
                    <w:spacing w:line="240" w:lineRule="exact"/>
                    <w:jc w:val="center"/>
                    <w:rPr>
                      <w:rFonts w:hint="eastAsia" w:ascii="Times New Roman" w:hAnsi="Times New Roman" w:cs="Times New Roman" w:eastAsiaTheme="minorEastAsia"/>
                      <w:bCs/>
                      <w:lang w:val="en-US" w:eastAsia="zh-CN"/>
                    </w:rPr>
                  </w:pPr>
                  <w:r>
                    <w:rPr>
                      <w:rFonts w:hint="eastAsia" w:ascii="Times New Roman" w:hAnsi="Times New Roman" w:cs="Times New Roman"/>
                      <w:bCs/>
                    </w:rPr>
                    <w:t>202</w:t>
                  </w:r>
                  <w:r>
                    <w:rPr>
                      <w:rFonts w:hint="eastAsia" w:ascii="Times New Roman" w:hAnsi="Times New Roman" w:cs="Times New Roman"/>
                      <w:bCs/>
                      <w:lang w:val="en-US" w:eastAsia="zh-CN"/>
                    </w:rPr>
                    <w:t>3</w:t>
                  </w:r>
                  <w:r>
                    <w:rPr>
                      <w:rFonts w:hint="eastAsia" w:ascii="Times New Roman" w:hAnsi="Times New Roman" w:cs="Times New Roman"/>
                      <w:bCs/>
                    </w:rPr>
                    <w:t>-1-1</w:t>
                  </w:r>
                  <w:r>
                    <w:rPr>
                      <w:rFonts w:hint="eastAsia" w:ascii="Times New Roman" w:hAnsi="Times New Roman" w:cs="Times New Roman"/>
                      <w:bCs/>
                      <w:lang w:val="en-US" w:eastAsia="zh-CN"/>
                    </w:rPr>
                    <w:t>4</w:t>
                  </w: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12:57</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13:10</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13:23</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54.1</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52.2</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51.1</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22:00</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22:13</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22:25</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43.1</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41.3</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42.1</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restar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校准仪器</w:t>
                  </w:r>
                </w:p>
              </w:tc>
              <w:tc>
                <w:tcPr>
                  <w:tcW w:w="698" w:type="pct"/>
                  <w:tcBorders>
                    <w:tl2br w:val="nil"/>
                    <w:tr2bl w:val="nil"/>
                  </w:tcBorders>
                  <w:noWrap/>
                  <w:vAlign w:val="center"/>
                </w:tcPr>
                <w:p>
                  <w:pPr>
                    <w:spacing w:before="50"/>
                    <w:jc w:val="center"/>
                    <w:rPr>
                      <w:rFonts w:ascii="Times New Roman" w:hAnsi="Times New Roman" w:cs="Times New Roman"/>
                      <w:bCs/>
                    </w:rPr>
                  </w:pPr>
                  <w:r>
                    <w:rPr>
                      <w:rFonts w:hint="eastAsia" w:ascii="宋体" w:hAnsi="宋体" w:eastAsia="宋体" w:cs="宋体"/>
                      <w:szCs w:val="21"/>
                      <w:lang w:val="en-US" w:eastAsia="zh-CN"/>
                    </w:rPr>
                    <w:t>时间</w:t>
                  </w:r>
                </w:p>
              </w:tc>
              <w:tc>
                <w:tcPr>
                  <w:tcW w:w="3746" w:type="pct"/>
                  <w:gridSpan w:val="5"/>
                  <w:tcBorders>
                    <w:tl2br w:val="nil"/>
                    <w:tr2bl w:val="nil"/>
                  </w:tcBorders>
                  <w:noWrap/>
                  <w:vAlign w:val="center"/>
                </w:tcPr>
                <w:p>
                  <w:pPr>
                    <w:spacing w:before="50"/>
                    <w:jc w:val="center"/>
                    <w:rPr>
                      <w:rFonts w:ascii="Times New Roman" w:hAnsi="Times New Roman" w:cs="Times New Roman"/>
                      <w:bCs/>
                    </w:rPr>
                  </w:pPr>
                  <w:r>
                    <w:rPr>
                      <w:rFonts w:hint="eastAsia" w:ascii="宋体" w:hAnsi="宋体" w:eastAsia="宋体" w:cs="宋体"/>
                      <w:bCs/>
                      <w:szCs w:val="21"/>
                    </w:rPr>
                    <w:t>声校准器</w:t>
                  </w:r>
                  <w:r>
                    <w:rPr>
                      <w:rFonts w:hint="eastAsia" w:ascii="宋体" w:hAnsi="宋体" w:eastAsia="宋体" w:cs="宋体"/>
                      <w:bCs/>
                      <w:szCs w:val="21"/>
                      <w:lang w:val="en-US" w:eastAsia="zh-CN"/>
                    </w:rPr>
                    <w:t xml:space="preserve"> </w:t>
                  </w:r>
                  <w:r>
                    <w:rPr>
                      <w:rFonts w:hint="eastAsia" w:ascii="Times New Roman" w:hAnsi="Times New Roman" w:cs="Times New Roman"/>
                      <w:bCs/>
                      <w:lang w:val="en-US" w:eastAsia="zh-CN"/>
                    </w:rPr>
                    <w:t>AWA6022A   SDZH-A02044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lang w:val="en-US" w:eastAsia="zh-CN"/>
                    </w:rPr>
                    <w:t>2023-01-13</w:t>
                  </w:r>
                </w:p>
              </w:tc>
              <w:tc>
                <w:tcPr>
                  <w:tcW w:w="1359" w:type="pct"/>
                  <w:gridSpan w:val="2"/>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测前校准：93.</w:t>
                  </w:r>
                  <w:r>
                    <w:rPr>
                      <w:rFonts w:hint="eastAsia" w:ascii="Times New Roman" w:hAnsi="Times New Roman" w:cs="Times New Roman"/>
                      <w:bCs/>
                      <w:lang w:val="en-US" w:eastAsia="zh-CN"/>
                    </w:rPr>
                    <w:t>8</w:t>
                  </w:r>
                  <w:r>
                    <w:rPr>
                      <w:rFonts w:hint="eastAsia" w:ascii="Times New Roman" w:hAnsi="Times New Roman" w:cs="Times New Roman"/>
                      <w:bCs/>
                    </w:rPr>
                    <w:t>dB（A）</w:t>
                  </w:r>
                </w:p>
              </w:tc>
              <w:tc>
                <w:tcPr>
                  <w:tcW w:w="2387" w:type="pct"/>
                  <w:gridSpan w:val="3"/>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测后校准：9</w:t>
                  </w:r>
                  <w:r>
                    <w:rPr>
                      <w:rFonts w:hint="eastAsia" w:ascii="Times New Roman" w:hAnsi="Times New Roman" w:cs="Times New Roman"/>
                      <w:bCs/>
                      <w:lang w:val="en-US" w:eastAsia="zh-CN"/>
                    </w:rPr>
                    <w:t>3.9</w:t>
                  </w:r>
                  <w:r>
                    <w:rPr>
                      <w:rFonts w:hint="eastAsia" w:ascii="Times New Roman" w:hAnsi="Times New Roman" w:cs="Times New Roman"/>
                      <w:bCs/>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lang w:val="en-US" w:eastAsia="zh-CN"/>
                    </w:rPr>
                    <w:t>2023-01-14</w:t>
                  </w:r>
                </w:p>
              </w:tc>
              <w:tc>
                <w:tcPr>
                  <w:tcW w:w="1359" w:type="pct"/>
                  <w:gridSpan w:val="2"/>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测前校准：93.</w:t>
                  </w:r>
                  <w:r>
                    <w:rPr>
                      <w:rFonts w:hint="eastAsia" w:ascii="Times New Roman" w:hAnsi="Times New Roman" w:cs="Times New Roman"/>
                      <w:bCs/>
                      <w:lang w:val="en-US" w:eastAsia="zh-CN"/>
                    </w:rPr>
                    <w:t>8</w:t>
                  </w:r>
                  <w:r>
                    <w:rPr>
                      <w:rFonts w:hint="eastAsia" w:ascii="Times New Roman" w:hAnsi="Times New Roman" w:cs="Times New Roman"/>
                      <w:bCs/>
                    </w:rPr>
                    <w:t>dB（A）</w:t>
                  </w:r>
                </w:p>
              </w:tc>
              <w:tc>
                <w:tcPr>
                  <w:tcW w:w="2387" w:type="pct"/>
                  <w:gridSpan w:val="3"/>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测后校准：9</w:t>
                  </w:r>
                  <w:r>
                    <w:rPr>
                      <w:rFonts w:hint="eastAsia" w:ascii="Times New Roman" w:hAnsi="Times New Roman" w:cs="Times New Roman"/>
                      <w:bCs/>
                      <w:lang w:val="en-US" w:eastAsia="zh-CN"/>
                    </w:rPr>
                    <w:t>3.9</w:t>
                  </w:r>
                  <w:r>
                    <w:rPr>
                      <w:rFonts w:hint="eastAsia" w:ascii="Times New Roman" w:hAnsi="Times New Roman" w:cs="Times New Roman"/>
                      <w:bCs/>
                    </w:rPr>
                    <w:t>dB（A）</w:t>
                  </w:r>
                </w:p>
              </w:tc>
            </w:tr>
          </w:tbl>
          <w:p>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lang w:eastAsia="zh-CN"/>
              </w:rPr>
              <w:t>厂界</w:t>
            </w:r>
            <w:r>
              <w:rPr>
                <w:rFonts w:ascii="Times New Roman" w:hAnsi="Times New Roman" w:eastAsia="宋体" w:cs="Times New Roman"/>
                <w:b/>
                <w:sz w:val="24"/>
                <w:szCs w:val="24"/>
              </w:rPr>
              <w:t>噪声监测结果评价：</w:t>
            </w:r>
            <w:r>
              <w:rPr>
                <w:rFonts w:ascii="Times New Roman" w:hAnsi="Times New Roman" w:eastAsia="宋体" w:cs="Times New Roman"/>
                <w:sz w:val="24"/>
                <w:szCs w:val="24"/>
              </w:rPr>
              <w:t>验收监测期间，东、南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西、北厂界昼间噪声值范围在</w:t>
            </w:r>
            <w:r>
              <w:rPr>
                <w:rFonts w:hint="eastAsia" w:ascii="Times New Roman" w:hAnsi="Times New Roman" w:eastAsia="宋体" w:cs="Times New Roman"/>
                <w:sz w:val="24"/>
                <w:szCs w:val="24"/>
              </w:rPr>
              <w:t>50.</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4.1</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，夜</w:t>
            </w:r>
            <w:r>
              <w:rPr>
                <w:rFonts w:ascii="Times New Roman" w:hAnsi="Times New Roman" w:eastAsia="宋体" w:cs="Times New Roman"/>
                <w:sz w:val="24"/>
                <w:szCs w:val="24"/>
              </w:rPr>
              <w:t>间噪声值范围在</w:t>
            </w:r>
            <w:r>
              <w:rPr>
                <w:rFonts w:hint="eastAsia" w:ascii="Times New Roman" w:hAnsi="Times New Roman" w:eastAsia="宋体" w:cs="Times New Roman"/>
                <w:sz w:val="24"/>
                <w:szCs w:val="24"/>
              </w:rPr>
              <w:t>40.</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44</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w:t>
            </w:r>
            <w:r>
              <w:rPr>
                <w:rFonts w:ascii="Times New Roman" w:hAnsi="Times New Roman" w:eastAsia="宋体" w:cs="Times New Roman"/>
                <w:sz w:val="24"/>
                <w:szCs w:val="24"/>
              </w:rPr>
              <w:t>能够满足《工业企业厂界环境噪声排放标准》（GB12348-2008）</w:t>
            </w:r>
            <w:r>
              <w:rPr>
                <w:rFonts w:hint="eastAsia" w:ascii="Times New Roman" w:hAnsi="Times New Roman" w:eastAsia="宋体" w:cs="Times New Roman"/>
                <w:sz w:val="24"/>
                <w:szCs w:val="24"/>
              </w:rPr>
              <w:t>表1类标准。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hint="eastAsia" w:ascii="Times New Roman" w:hAnsi="Times New Roman" w:eastAsia="宋体" w:cs="Times New Roman"/>
                <w:sz w:val="24"/>
                <w:szCs w:val="24"/>
                <w:lang w:eastAsia="zh-CN"/>
              </w:rPr>
              <w:t>敏感点</w:t>
            </w:r>
            <w:r>
              <w:rPr>
                <w:rFonts w:ascii="Times New Roman" w:hAnsi="Times New Roman" w:eastAsia="宋体" w:cs="Times New Roman"/>
                <w:sz w:val="24"/>
                <w:szCs w:val="24"/>
              </w:rPr>
              <w:t>噪声监测结果见7-</w:t>
            </w:r>
            <w:r>
              <w:rPr>
                <w:rFonts w:hint="eastAsia" w:ascii="Times New Roman" w:hAnsi="Times New Roman" w:eastAsia="宋体" w:cs="Times New Roman"/>
                <w:sz w:val="24"/>
                <w:szCs w:val="24"/>
                <w:lang w:val="en-US" w:eastAsia="zh-CN"/>
              </w:rPr>
              <w:t>4</w:t>
            </w:r>
            <w:r>
              <w:rPr>
                <w:rFonts w:ascii="Times New Roman" w:hAnsi="Times New Roman" w:eastAsia="宋体" w:cs="Times New Roman"/>
                <w:sz w:val="24"/>
                <w:szCs w:val="24"/>
              </w:rPr>
              <w:t>。</w:t>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表7-</w:t>
            </w:r>
            <w:r>
              <w:rPr>
                <w:rFonts w:hint="eastAsia" w:ascii="Times New Roman" w:hAnsi="Times New Roman" w:cs="Times New Roman"/>
                <w:b/>
                <w:sz w:val="24"/>
                <w:szCs w:val="24"/>
                <w:lang w:val="en-US" w:eastAsia="zh-CN"/>
              </w:rPr>
              <w:t>4</w:t>
            </w:r>
            <w:r>
              <w:rPr>
                <w:rFonts w:ascii="Times New Roman" w:hAnsi="Times New Roman" w:cs="Times New Roman"/>
                <w:b/>
                <w:sz w:val="24"/>
                <w:szCs w:val="24"/>
              </w:rPr>
              <w:t xml:space="preserve">  </w:t>
            </w:r>
            <w:r>
              <w:rPr>
                <w:rFonts w:hint="eastAsia" w:ascii="Times New Roman" w:hAnsi="Times New Roman" w:cs="Times New Roman"/>
                <w:b/>
                <w:sz w:val="24"/>
                <w:szCs w:val="24"/>
                <w:lang w:eastAsia="zh-CN"/>
              </w:rPr>
              <w:t>敏感点</w:t>
            </w:r>
            <w:r>
              <w:rPr>
                <w:rFonts w:hint="eastAsia" w:ascii="Times New Roman" w:hAnsi="Times New Roman" w:cs="Times New Roman"/>
                <w:b/>
                <w:sz w:val="24"/>
                <w:szCs w:val="24"/>
              </w:rPr>
              <w:t>昼间</w:t>
            </w:r>
            <w:r>
              <w:rPr>
                <w:rFonts w:ascii="Times New Roman" w:hAnsi="Times New Roman" w:cs="Times New Roman"/>
                <w:b/>
                <w:sz w:val="24"/>
                <w:szCs w:val="24"/>
              </w:rPr>
              <w:t>噪声监测结果</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160"/>
              <w:gridCol w:w="1887"/>
              <w:gridCol w:w="369"/>
              <w:gridCol w:w="990"/>
              <w:gridCol w:w="1433"/>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3" w:type="pct"/>
                  <w:gridSpan w:val="2"/>
                  <w:vMerge w:val="restar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监测点位</w:t>
                  </w:r>
                </w:p>
              </w:tc>
              <w:tc>
                <w:tcPr>
                  <w:tcW w:w="3746" w:type="pct"/>
                  <w:gridSpan w:val="5"/>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监测结果LAeq[dB（A）]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3" w:type="pct"/>
                  <w:gridSpan w:val="2"/>
                  <w:vMerge w:val="continue"/>
                  <w:tcBorders>
                    <w:tl2br w:val="nil"/>
                    <w:tr2bl w:val="nil"/>
                  </w:tcBorders>
                  <w:noWrap/>
                  <w:vAlign w:val="center"/>
                </w:tcPr>
                <w:p>
                  <w:pPr>
                    <w:spacing w:line="240" w:lineRule="exact"/>
                    <w:jc w:val="center"/>
                    <w:rPr>
                      <w:rFonts w:ascii="Times New Roman" w:hAnsi="Times New Roman" w:cs="Times New Roman"/>
                      <w:bCs/>
                    </w:rPr>
                  </w:pPr>
                </w:p>
              </w:tc>
              <w:tc>
                <w:tcPr>
                  <w:tcW w:w="1137" w:type="pct"/>
                  <w:tcBorders>
                    <w:tl2br w:val="nil"/>
                    <w:tr2bl w:val="nil"/>
                  </w:tcBorders>
                  <w:noWrap/>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南关清真寺</w:t>
                  </w:r>
                </w:p>
                <w:p>
                  <w:pPr>
                    <w:jc w:val="center"/>
                    <w:rPr>
                      <w:rFonts w:ascii="Times New Roman" w:hAnsi="Times New Roman" w:cs="Times New Roman"/>
                      <w:bCs/>
                    </w:rPr>
                  </w:pPr>
                  <w:r>
                    <w:rPr>
                      <w:rFonts w:hint="eastAsia" w:ascii="宋体" w:hAnsi="宋体" w:eastAsia="宋体" w:cs="Times New Roman"/>
                      <w:szCs w:val="21"/>
                      <w:lang w:val="en-US" w:eastAsia="zh-CN"/>
                    </w:rPr>
                    <w:t>5#</w:t>
                  </w:r>
                </w:p>
              </w:tc>
              <w:tc>
                <w:tcPr>
                  <w:tcW w:w="818" w:type="pct"/>
                  <w:gridSpan w:val="2"/>
                  <w:tcBorders>
                    <w:tl2br w:val="nil"/>
                    <w:tr2bl w:val="nil"/>
                  </w:tcBorders>
                  <w:noWrap/>
                  <w:vAlign w:val="center"/>
                </w:tcPr>
                <w:p>
                  <w:pPr>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杉槁园街小区</w:t>
                  </w:r>
                </w:p>
                <w:p>
                  <w:pPr>
                    <w:jc w:val="center"/>
                    <w:rPr>
                      <w:rFonts w:ascii="Times New Roman" w:hAnsi="Times New Roman" w:cs="Times New Roman"/>
                      <w:bCs/>
                    </w:rPr>
                  </w:pPr>
                  <w:r>
                    <w:rPr>
                      <w:rFonts w:hint="eastAsia" w:ascii="宋体" w:hAnsi="宋体" w:eastAsia="宋体" w:cs="Times New Roman"/>
                      <w:szCs w:val="21"/>
                      <w:lang w:val="en-US" w:eastAsia="zh-CN"/>
                    </w:rPr>
                    <w:t>6#</w:t>
                  </w:r>
                </w:p>
              </w:tc>
              <w:tc>
                <w:tcPr>
                  <w:tcW w:w="863" w:type="pct"/>
                  <w:tcBorders>
                    <w:tl2br w:val="nil"/>
                    <w:tr2bl w:val="nil"/>
                  </w:tcBorders>
                  <w:noWrap/>
                  <w:vAlign w:val="center"/>
                </w:tcPr>
                <w:p>
                  <w:pPr>
                    <w:jc w:val="center"/>
                    <w:rPr>
                      <w:rFonts w:ascii="Times New Roman" w:hAnsi="Times New Roman" w:cs="Times New Roman"/>
                      <w:bCs/>
                    </w:rPr>
                  </w:pPr>
                  <w:r>
                    <w:rPr>
                      <w:rFonts w:hint="eastAsia" w:ascii="宋体" w:hAnsi="宋体" w:eastAsia="宋体" w:cs="宋体"/>
                      <w:color w:val="auto"/>
                      <w:kern w:val="2"/>
                      <w:sz w:val="21"/>
                      <w:szCs w:val="21"/>
                      <w:lang w:val="en-US" w:eastAsia="zh-CN" w:bidi="ar-SA"/>
                    </w:rPr>
                    <w:t>南券门巷小区</w:t>
                  </w:r>
                  <w:r>
                    <w:rPr>
                      <w:rFonts w:hint="eastAsia" w:ascii="宋体" w:hAnsi="宋体" w:eastAsia="宋体" w:cs="Times New Roman"/>
                      <w:szCs w:val="21"/>
                      <w:lang w:val="en-US" w:eastAsia="zh-CN"/>
                    </w:rPr>
                    <w:t>7#</w:t>
                  </w:r>
                </w:p>
              </w:tc>
              <w:tc>
                <w:tcPr>
                  <w:tcW w:w="927" w:type="pct"/>
                  <w:tcBorders>
                    <w:tl2br w:val="nil"/>
                    <w:tr2bl w:val="nil"/>
                  </w:tcBorders>
                  <w:noWrap/>
                  <w:vAlign w:val="center"/>
                </w:tcPr>
                <w:p>
                  <w:pPr>
                    <w:jc w:val="center"/>
                    <w:rPr>
                      <w:rFonts w:ascii="Times New Roman" w:hAnsi="Times New Roman" w:cs="Times New Roman"/>
                      <w:bCs/>
                    </w:rPr>
                  </w:pPr>
                  <w:r>
                    <w:rPr>
                      <w:rFonts w:hint="eastAsia" w:ascii="宋体" w:hAnsi="宋体" w:eastAsia="宋体" w:cs="宋体"/>
                      <w:color w:val="auto"/>
                      <w:kern w:val="2"/>
                      <w:sz w:val="21"/>
                      <w:szCs w:val="21"/>
                      <w:lang w:val="en-US" w:eastAsia="zh-CN" w:bidi="ar-SA"/>
                    </w:rPr>
                    <w:t>济南历下社区学院</w:t>
                  </w:r>
                  <w:r>
                    <w:rPr>
                      <w:rFonts w:hint="eastAsia" w:ascii="宋体" w:hAnsi="宋体" w:eastAsia="宋体" w:cs="Times New Roman"/>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restart"/>
                  <w:tcBorders>
                    <w:tl2br w:val="nil"/>
                    <w:tr2bl w:val="nil"/>
                  </w:tcBorders>
                  <w:noWrap/>
                  <w:vAlign w:val="center"/>
                </w:tcPr>
                <w:p>
                  <w:pPr>
                    <w:spacing w:line="240" w:lineRule="exact"/>
                    <w:jc w:val="center"/>
                    <w:rPr>
                      <w:rFonts w:hint="eastAsia" w:ascii="Times New Roman" w:hAnsi="Times New Roman" w:cs="Times New Roman" w:eastAsiaTheme="minorEastAsia"/>
                      <w:bCs/>
                      <w:lang w:val="en-US" w:eastAsia="zh-CN"/>
                    </w:rPr>
                  </w:pPr>
                  <w:r>
                    <w:rPr>
                      <w:rFonts w:hint="eastAsia" w:ascii="Times New Roman" w:hAnsi="Times New Roman" w:cs="Times New Roman"/>
                      <w:bCs/>
                    </w:rPr>
                    <w:t>202</w:t>
                  </w:r>
                  <w:r>
                    <w:rPr>
                      <w:rFonts w:hint="eastAsia" w:ascii="Times New Roman" w:hAnsi="Times New Roman" w:cs="Times New Roman"/>
                      <w:bCs/>
                      <w:lang w:val="en-US" w:eastAsia="zh-CN"/>
                    </w:rPr>
                    <w:t>3</w:t>
                  </w:r>
                  <w:r>
                    <w:rPr>
                      <w:rFonts w:hint="eastAsia" w:ascii="Times New Roman" w:hAnsi="Times New Roman" w:cs="Times New Roman"/>
                      <w:bCs/>
                    </w:rPr>
                    <w:t>-1-1</w:t>
                  </w:r>
                  <w:r>
                    <w:rPr>
                      <w:rFonts w:hint="eastAsia" w:ascii="Times New Roman" w:hAnsi="Times New Roman" w:cs="Times New Roman"/>
                      <w:bCs/>
                      <w:lang w:val="en-US" w:eastAsia="zh-CN"/>
                    </w:rPr>
                    <w:t>3</w:t>
                  </w: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12:27</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12:40</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12:52</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51.6</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52.3</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50.5</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22:48</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23:00</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23:13</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40.5</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40.9</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41.6</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restart"/>
                  <w:tcBorders>
                    <w:tl2br w:val="nil"/>
                    <w:tr2bl w:val="nil"/>
                  </w:tcBorders>
                  <w:noWrap/>
                  <w:vAlign w:val="center"/>
                </w:tcPr>
                <w:p>
                  <w:pPr>
                    <w:spacing w:line="240" w:lineRule="exact"/>
                    <w:jc w:val="center"/>
                    <w:rPr>
                      <w:rFonts w:hint="eastAsia" w:ascii="Times New Roman" w:hAnsi="Times New Roman" w:cs="Times New Roman" w:eastAsiaTheme="minorEastAsia"/>
                      <w:bCs/>
                      <w:lang w:val="en-US" w:eastAsia="zh-CN"/>
                    </w:rPr>
                  </w:pPr>
                  <w:r>
                    <w:rPr>
                      <w:rFonts w:hint="eastAsia" w:ascii="Times New Roman" w:hAnsi="Times New Roman" w:cs="Times New Roman"/>
                      <w:bCs/>
                    </w:rPr>
                    <w:t>202</w:t>
                  </w:r>
                  <w:r>
                    <w:rPr>
                      <w:rFonts w:hint="eastAsia" w:ascii="Times New Roman" w:hAnsi="Times New Roman" w:cs="Times New Roman"/>
                      <w:bCs/>
                      <w:lang w:val="en-US" w:eastAsia="zh-CN"/>
                    </w:rPr>
                    <w:t>3</w:t>
                  </w:r>
                  <w:r>
                    <w:rPr>
                      <w:rFonts w:hint="eastAsia" w:ascii="Times New Roman" w:hAnsi="Times New Roman" w:cs="Times New Roman"/>
                      <w:bCs/>
                    </w:rPr>
                    <w:t>-1-1</w:t>
                  </w:r>
                  <w:r>
                    <w:rPr>
                      <w:rFonts w:hint="eastAsia" w:ascii="Times New Roman" w:hAnsi="Times New Roman" w:cs="Times New Roman"/>
                      <w:bCs/>
                      <w:lang w:val="en-US" w:eastAsia="zh-CN"/>
                    </w:rPr>
                    <w:t>4</w:t>
                  </w: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13:50</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14:08</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14:22</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14:35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50.5</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51.4</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52.5</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时间</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22:49</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23:01</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23:13</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23:27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结果</w:t>
                  </w:r>
                </w:p>
              </w:tc>
              <w:tc>
                <w:tcPr>
                  <w:tcW w:w="113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39.7</w:t>
                  </w:r>
                </w:p>
              </w:tc>
              <w:tc>
                <w:tcPr>
                  <w:tcW w:w="818" w:type="pct"/>
                  <w:gridSpan w:val="2"/>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39.8</w:t>
                  </w:r>
                </w:p>
              </w:tc>
              <w:tc>
                <w:tcPr>
                  <w:tcW w:w="863"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40.2</w:t>
                  </w:r>
                </w:p>
              </w:tc>
              <w:tc>
                <w:tcPr>
                  <w:tcW w:w="927" w:type="pct"/>
                  <w:tcBorders>
                    <w:tl2br w:val="nil"/>
                    <w:tr2bl w:val="nil"/>
                  </w:tcBorders>
                  <w:noWrap/>
                  <w:vAlign w:val="center"/>
                </w:tcPr>
                <w:p>
                  <w:pPr>
                    <w:spacing w:line="240" w:lineRule="exact"/>
                    <w:jc w:val="center"/>
                    <w:rPr>
                      <w:rFonts w:hint="default" w:ascii="Times New Roman" w:hAnsi="Times New Roman" w:cs="Times New Roman"/>
                      <w:bCs/>
                      <w:lang w:val="en-US" w:eastAsia="zh-CN"/>
                    </w:rPr>
                  </w:pPr>
                  <w:r>
                    <w:rPr>
                      <w:rFonts w:hint="eastAsia" w:ascii="Times New Roman" w:hAnsi="Times New Roman" w:cs="Times New Roman"/>
                      <w:bCs/>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restart"/>
                  <w:tcBorders>
                    <w:tl2br w:val="nil"/>
                    <w:tr2bl w:val="nil"/>
                  </w:tcBorders>
                  <w:noWrap/>
                  <w:vAlign w:val="center"/>
                </w:tcPr>
                <w:p>
                  <w:pPr>
                    <w:spacing w:line="240" w:lineRule="exact"/>
                    <w:jc w:val="center"/>
                    <w:rPr>
                      <w:rFonts w:ascii="Times New Roman" w:hAnsi="Times New Roman" w:cs="Times New Roman"/>
                      <w:bCs/>
                    </w:rPr>
                  </w:pPr>
                  <w:r>
                    <w:rPr>
                      <w:rFonts w:hint="eastAsia" w:ascii="Times New Roman" w:hAnsi="Times New Roman" w:cs="Times New Roman"/>
                      <w:bCs/>
                    </w:rPr>
                    <w:t>校准仪器</w:t>
                  </w:r>
                </w:p>
              </w:tc>
              <w:tc>
                <w:tcPr>
                  <w:tcW w:w="698" w:type="pct"/>
                  <w:tcBorders>
                    <w:tl2br w:val="nil"/>
                    <w:tr2bl w:val="nil"/>
                  </w:tcBorders>
                  <w:noWrap/>
                  <w:vAlign w:val="center"/>
                </w:tcPr>
                <w:p>
                  <w:pPr>
                    <w:spacing w:before="50"/>
                    <w:jc w:val="center"/>
                    <w:rPr>
                      <w:rFonts w:ascii="Times New Roman" w:hAnsi="Times New Roman" w:cs="Times New Roman"/>
                      <w:bCs/>
                    </w:rPr>
                  </w:pPr>
                  <w:r>
                    <w:rPr>
                      <w:rFonts w:hint="eastAsia" w:ascii="宋体" w:hAnsi="宋体" w:eastAsia="宋体" w:cs="宋体"/>
                      <w:szCs w:val="21"/>
                      <w:lang w:val="en-US" w:eastAsia="zh-CN"/>
                    </w:rPr>
                    <w:t>时间</w:t>
                  </w:r>
                </w:p>
              </w:tc>
              <w:tc>
                <w:tcPr>
                  <w:tcW w:w="3746" w:type="pct"/>
                  <w:gridSpan w:val="5"/>
                  <w:tcBorders>
                    <w:tl2br w:val="nil"/>
                    <w:tr2bl w:val="nil"/>
                  </w:tcBorders>
                  <w:noWrap/>
                  <w:vAlign w:val="center"/>
                </w:tcPr>
                <w:p>
                  <w:pPr>
                    <w:spacing w:before="50"/>
                    <w:jc w:val="center"/>
                    <w:rPr>
                      <w:rFonts w:ascii="Times New Roman" w:hAnsi="Times New Roman" w:cs="Times New Roman"/>
                      <w:bCs/>
                    </w:rPr>
                  </w:pPr>
                  <w:r>
                    <w:rPr>
                      <w:rFonts w:hint="eastAsia" w:ascii="宋体" w:hAnsi="宋体" w:eastAsia="宋体" w:cs="宋体"/>
                      <w:bCs/>
                      <w:szCs w:val="21"/>
                    </w:rPr>
                    <w:t>声校准器</w:t>
                  </w:r>
                  <w:r>
                    <w:rPr>
                      <w:rFonts w:hint="eastAsia" w:ascii="宋体" w:hAnsi="宋体" w:eastAsia="宋体" w:cs="宋体"/>
                      <w:bCs/>
                      <w:szCs w:val="21"/>
                      <w:lang w:val="en-US" w:eastAsia="zh-CN"/>
                    </w:rPr>
                    <w:t xml:space="preserve"> </w:t>
                  </w:r>
                  <w:r>
                    <w:rPr>
                      <w:rFonts w:hint="eastAsia" w:ascii="Times New Roman" w:hAnsi="Times New Roman" w:cs="Times New Roman"/>
                      <w:bCs/>
                      <w:lang w:val="en-US" w:eastAsia="zh-CN"/>
                    </w:rPr>
                    <w:t>AWA6022A   SDZH-A02044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lang w:val="en-US" w:eastAsia="zh-CN"/>
                    </w:rPr>
                    <w:t>2023-01-13</w:t>
                  </w:r>
                </w:p>
              </w:tc>
              <w:tc>
                <w:tcPr>
                  <w:tcW w:w="1359" w:type="pct"/>
                  <w:gridSpan w:val="2"/>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测前校准：93.</w:t>
                  </w:r>
                  <w:r>
                    <w:rPr>
                      <w:rFonts w:hint="eastAsia" w:ascii="Times New Roman" w:hAnsi="Times New Roman" w:cs="Times New Roman"/>
                      <w:bCs/>
                      <w:lang w:val="en-US" w:eastAsia="zh-CN"/>
                    </w:rPr>
                    <w:t>8</w:t>
                  </w:r>
                  <w:r>
                    <w:rPr>
                      <w:rFonts w:hint="eastAsia" w:ascii="Times New Roman" w:hAnsi="Times New Roman" w:cs="Times New Roman"/>
                      <w:bCs/>
                    </w:rPr>
                    <w:t>dB（A）</w:t>
                  </w:r>
                </w:p>
              </w:tc>
              <w:tc>
                <w:tcPr>
                  <w:tcW w:w="2387" w:type="pct"/>
                  <w:gridSpan w:val="3"/>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测后校准：9</w:t>
                  </w:r>
                  <w:r>
                    <w:rPr>
                      <w:rFonts w:hint="eastAsia" w:ascii="Times New Roman" w:hAnsi="Times New Roman" w:cs="Times New Roman"/>
                      <w:bCs/>
                      <w:lang w:val="en-US" w:eastAsia="zh-CN"/>
                    </w:rPr>
                    <w:t>3.9</w:t>
                  </w:r>
                  <w:r>
                    <w:rPr>
                      <w:rFonts w:hint="eastAsia" w:ascii="Times New Roman" w:hAnsi="Times New Roman" w:cs="Times New Roman"/>
                      <w:bCs/>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4" w:type="pct"/>
                  <w:vMerge w:val="continue"/>
                  <w:tcBorders>
                    <w:tl2br w:val="nil"/>
                    <w:tr2bl w:val="nil"/>
                  </w:tcBorders>
                  <w:noWrap/>
                  <w:vAlign w:val="center"/>
                </w:tcPr>
                <w:p>
                  <w:pPr>
                    <w:spacing w:line="240" w:lineRule="exact"/>
                    <w:jc w:val="center"/>
                    <w:rPr>
                      <w:rFonts w:ascii="Times New Roman" w:hAnsi="Times New Roman" w:cs="Times New Roman"/>
                      <w:bCs/>
                    </w:rPr>
                  </w:pPr>
                </w:p>
              </w:tc>
              <w:tc>
                <w:tcPr>
                  <w:tcW w:w="698" w:type="pct"/>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lang w:val="en-US" w:eastAsia="zh-CN"/>
                    </w:rPr>
                    <w:t>2023-01-14</w:t>
                  </w:r>
                </w:p>
              </w:tc>
              <w:tc>
                <w:tcPr>
                  <w:tcW w:w="1359" w:type="pct"/>
                  <w:gridSpan w:val="2"/>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测前校准：93.</w:t>
                  </w:r>
                  <w:r>
                    <w:rPr>
                      <w:rFonts w:hint="eastAsia" w:ascii="Times New Roman" w:hAnsi="Times New Roman" w:cs="Times New Roman"/>
                      <w:bCs/>
                      <w:lang w:val="en-US" w:eastAsia="zh-CN"/>
                    </w:rPr>
                    <w:t>8</w:t>
                  </w:r>
                  <w:r>
                    <w:rPr>
                      <w:rFonts w:hint="eastAsia" w:ascii="Times New Roman" w:hAnsi="Times New Roman" w:cs="Times New Roman"/>
                      <w:bCs/>
                    </w:rPr>
                    <w:t>dB（A）</w:t>
                  </w:r>
                </w:p>
              </w:tc>
              <w:tc>
                <w:tcPr>
                  <w:tcW w:w="2387" w:type="pct"/>
                  <w:gridSpan w:val="3"/>
                  <w:tcBorders>
                    <w:tl2br w:val="nil"/>
                    <w:tr2bl w:val="nil"/>
                  </w:tcBorders>
                  <w:noWrap/>
                  <w:vAlign w:val="center"/>
                </w:tcPr>
                <w:p>
                  <w:pPr>
                    <w:spacing w:line="240" w:lineRule="exact"/>
                    <w:jc w:val="center"/>
                    <w:rPr>
                      <w:rFonts w:hint="eastAsia" w:ascii="Times New Roman" w:hAnsi="Times New Roman" w:cs="Times New Roman"/>
                      <w:bCs/>
                    </w:rPr>
                  </w:pPr>
                  <w:r>
                    <w:rPr>
                      <w:rFonts w:hint="eastAsia" w:ascii="Times New Roman" w:hAnsi="Times New Roman" w:cs="Times New Roman"/>
                      <w:bCs/>
                    </w:rPr>
                    <w:t>测后校准：9</w:t>
                  </w:r>
                  <w:r>
                    <w:rPr>
                      <w:rFonts w:hint="eastAsia" w:ascii="Times New Roman" w:hAnsi="Times New Roman" w:cs="Times New Roman"/>
                      <w:bCs/>
                      <w:lang w:val="en-US" w:eastAsia="zh-CN"/>
                    </w:rPr>
                    <w:t>3.9</w:t>
                  </w:r>
                  <w:r>
                    <w:rPr>
                      <w:rFonts w:hint="eastAsia" w:ascii="Times New Roman" w:hAnsi="Times New Roman" w:cs="Times New Roman"/>
                      <w:bCs/>
                    </w:rPr>
                    <w:t>dB（A）</w:t>
                  </w:r>
                </w:p>
              </w:tc>
            </w:tr>
          </w:tbl>
          <w:p>
            <w:pPr>
              <w:spacing w:line="360" w:lineRule="auto"/>
              <w:jc w:val="left"/>
              <w:rPr>
                <w:rFonts w:ascii="Times New Roman" w:hAnsi="Times New Roman" w:eastAsia="宋体" w:cs="Times New Roman"/>
                <w:sz w:val="24"/>
                <w:szCs w:val="24"/>
              </w:rPr>
            </w:pPr>
            <w:r>
              <w:rPr>
                <w:rFonts w:hint="eastAsia" w:ascii="Times New Roman" w:hAnsi="Times New Roman" w:eastAsia="宋体" w:cs="Times New Roman"/>
                <w:b/>
                <w:sz w:val="24"/>
                <w:szCs w:val="24"/>
                <w:lang w:eastAsia="zh-CN"/>
              </w:rPr>
              <w:t>敏感点</w:t>
            </w:r>
            <w:r>
              <w:rPr>
                <w:rFonts w:ascii="Times New Roman" w:hAnsi="Times New Roman" w:eastAsia="宋体" w:cs="Times New Roman"/>
                <w:b/>
                <w:sz w:val="24"/>
                <w:szCs w:val="24"/>
              </w:rPr>
              <w:t>噪声监测结果评价：</w:t>
            </w:r>
            <w:r>
              <w:rPr>
                <w:rFonts w:ascii="Times New Roman" w:hAnsi="Times New Roman" w:eastAsia="宋体" w:cs="Times New Roman"/>
                <w:sz w:val="24"/>
                <w:szCs w:val="24"/>
              </w:rPr>
              <w:t>验收监测期间，</w:t>
            </w:r>
            <w:r>
              <w:rPr>
                <w:rFonts w:hint="eastAsia" w:ascii="Times New Roman" w:hAnsi="Times New Roman" w:eastAsia="宋体" w:cs="Times New Roman"/>
                <w:sz w:val="24"/>
                <w:szCs w:val="24"/>
                <w:lang w:eastAsia="zh-CN"/>
              </w:rPr>
              <w:t>南关清真寺、</w:t>
            </w:r>
            <w:r>
              <w:rPr>
                <w:rFonts w:hint="eastAsia" w:ascii="Times New Roman" w:hAnsi="Times New Roman" w:eastAsia="宋体" w:cs="Times New Roman"/>
                <w:sz w:val="24"/>
                <w:szCs w:val="24"/>
                <w:lang w:val="en-US" w:eastAsia="zh-CN"/>
              </w:rPr>
              <w:t>杉槁园街小区、南券门巷小区、济南历下社区学院</w:t>
            </w:r>
            <w:r>
              <w:rPr>
                <w:rFonts w:ascii="Times New Roman" w:hAnsi="Times New Roman" w:eastAsia="宋体" w:cs="Times New Roman"/>
                <w:sz w:val="24"/>
                <w:szCs w:val="24"/>
              </w:rPr>
              <w:t>昼间噪声值范围在</w:t>
            </w:r>
            <w:r>
              <w:rPr>
                <w:rFonts w:hint="eastAsia" w:ascii="Times New Roman" w:hAnsi="Times New Roman" w:eastAsia="宋体" w:cs="Times New Roman"/>
                <w:sz w:val="24"/>
                <w:szCs w:val="24"/>
              </w:rPr>
              <w:t>50</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2.8</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，夜</w:t>
            </w:r>
            <w:r>
              <w:rPr>
                <w:rFonts w:ascii="Times New Roman" w:hAnsi="Times New Roman" w:eastAsia="宋体" w:cs="Times New Roman"/>
                <w:sz w:val="24"/>
                <w:szCs w:val="24"/>
              </w:rPr>
              <w:t>间噪声值范围在</w:t>
            </w:r>
            <w:r>
              <w:rPr>
                <w:rFonts w:hint="eastAsia" w:ascii="Times New Roman" w:hAnsi="Times New Roman" w:eastAsia="宋体" w:cs="Times New Roman"/>
                <w:sz w:val="24"/>
                <w:szCs w:val="24"/>
                <w:lang w:val="en-US" w:eastAsia="zh-CN"/>
              </w:rPr>
              <w:t>39.7</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42.4</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w:t>
            </w:r>
            <w:r>
              <w:rPr>
                <w:rFonts w:ascii="Times New Roman" w:hAnsi="Times New Roman" w:eastAsia="宋体" w:cs="Times New Roman"/>
                <w:sz w:val="24"/>
                <w:szCs w:val="24"/>
              </w:rPr>
              <w:t>能够满足</w:t>
            </w:r>
            <w:r>
              <w:rPr>
                <w:rFonts w:hint="eastAsia" w:ascii="Times New Roman" w:hAnsi="Times New Roman" w:eastAsia="宋体" w:cs="Times New Roman"/>
                <w:sz w:val="24"/>
                <w:szCs w:val="24"/>
                <w:highlight w:val="none"/>
                <w:lang w:eastAsia="zh-CN"/>
              </w:rPr>
              <w:t>《声环境质量标准》（GB</w:t>
            </w:r>
            <w:r>
              <w:rPr>
                <w:rFonts w:hint="eastAsia" w:ascii="Times New Roman" w:hAnsi="Times New Roman" w:eastAsia="宋体" w:cs="Times New Roman"/>
                <w:sz w:val="24"/>
                <w:szCs w:val="24"/>
                <w:highlight w:val="none"/>
                <w:lang w:val="en-US" w:eastAsia="zh-CN"/>
              </w:rPr>
              <w:t>3096</w:t>
            </w:r>
            <w:r>
              <w:rPr>
                <w:rFonts w:hint="eastAsia" w:ascii="Times New Roman" w:hAnsi="Times New Roman" w:eastAsia="宋体" w:cs="Times New Roman"/>
                <w:sz w:val="24"/>
                <w:szCs w:val="24"/>
                <w:highlight w:val="none"/>
                <w:lang w:eastAsia="zh-CN"/>
              </w:rPr>
              <w:t>-2008）</w:t>
            </w:r>
            <w:r>
              <w:rPr>
                <w:rFonts w:hint="eastAsia" w:ascii="Times New Roman" w:hAnsi="Times New Roman" w:eastAsia="宋体" w:cs="Times New Roman"/>
                <w:sz w:val="24"/>
                <w:szCs w:val="24"/>
              </w:rPr>
              <w:t>表1类标准。</w:t>
            </w:r>
          </w:p>
          <w:p>
            <w:pPr>
              <w:spacing w:line="360" w:lineRule="auto"/>
              <w:jc w:val="left"/>
              <w:rPr>
                <w:rFonts w:ascii="Times New Roman" w:hAnsi="Times New Roman" w:eastAsia="宋体" w:cs="Times New Roman"/>
                <w:sz w:val="28"/>
                <w:szCs w:val="28"/>
              </w:rPr>
            </w:pPr>
          </w:p>
        </w:tc>
      </w:tr>
    </w:tbl>
    <w:p>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br w:type="page"/>
      </w:r>
    </w:p>
    <w:p>
      <w:pPr>
        <w:spacing w:line="36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环评批复落实情况</w:t>
      </w:r>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754" w:hRule="atLeast"/>
          <w:jc w:val="center"/>
        </w:trPr>
        <w:tc>
          <w:tcPr>
            <w:tcW w:w="5000" w:type="pct"/>
          </w:tcPr>
          <w:tbl>
            <w:tblPr>
              <w:tblStyle w:val="31"/>
              <w:tblpPr w:leftFromText="180" w:rightFromText="180" w:vertAnchor="text" w:horzAnchor="page" w:tblpX="1" w:tblpY="43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3133"/>
              <w:gridCol w:w="3531"/>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序号</w:t>
                  </w:r>
                </w:p>
              </w:tc>
              <w:tc>
                <w:tcPr>
                  <w:tcW w:w="1888" w:type="pct"/>
                  <w:vAlign w:val="center"/>
                </w:tcPr>
                <w:p>
                  <w:pPr>
                    <w:spacing w:line="240" w:lineRule="auto"/>
                    <w:ind w:firstLine="444" w:firstLineChars="200"/>
                    <w:jc w:val="center"/>
                    <w:rPr>
                      <w:rFonts w:hint="default" w:ascii="Times New Roman" w:hAnsi="Times New Roman" w:cs="Times New Roman"/>
                      <w:spacing w:val="6"/>
                      <w:sz w:val="21"/>
                      <w:szCs w:val="21"/>
                    </w:rPr>
                  </w:pPr>
                  <w:r>
                    <w:rPr>
                      <w:rFonts w:hint="default" w:ascii="Times New Roman" w:hAnsi="Times New Roman" w:cs="Times New Roman"/>
                      <w:spacing w:val="6"/>
                      <w:sz w:val="21"/>
                      <w:szCs w:val="21"/>
                    </w:rPr>
                    <w:t>环评批复要求</w:t>
                  </w:r>
                </w:p>
              </w:tc>
              <w:tc>
                <w:tcPr>
                  <w:tcW w:w="2128" w:type="pct"/>
                  <w:vAlign w:val="center"/>
                </w:tcPr>
                <w:p>
                  <w:pPr>
                    <w:spacing w:line="240" w:lineRule="auto"/>
                    <w:ind w:firstLine="444" w:firstLineChars="200"/>
                    <w:jc w:val="both"/>
                    <w:rPr>
                      <w:rFonts w:hint="default" w:ascii="Times New Roman" w:hAnsi="Times New Roman" w:cs="Times New Roman"/>
                      <w:spacing w:val="6"/>
                      <w:sz w:val="21"/>
                      <w:szCs w:val="21"/>
                    </w:rPr>
                  </w:pPr>
                  <w:r>
                    <w:rPr>
                      <w:rFonts w:hint="default" w:ascii="Times New Roman" w:hAnsi="Times New Roman" w:cs="Times New Roman"/>
                      <w:spacing w:val="6"/>
                      <w:sz w:val="21"/>
                      <w:szCs w:val="21"/>
                    </w:rPr>
                    <w:t>实际落实情况</w:t>
                  </w:r>
                </w:p>
              </w:tc>
              <w:tc>
                <w:tcPr>
                  <w:tcW w:w="532" w:type="pct"/>
                  <w:vAlign w:val="center"/>
                </w:tcPr>
                <w:p>
                  <w:pPr>
                    <w:spacing w:line="240" w:lineRule="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对比要求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1</w:t>
                  </w:r>
                </w:p>
              </w:tc>
              <w:tc>
                <w:tcPr>
                  <w:tcW w:w="1888" w:type="pct"/>
                  <w:vAlign w:val="center"/>
                </w:tcPr>
                <w:p>
                  <w:pPr>
                    <w:numPr>
                      <w:ilvl w:val="0"/>
                      <w:numId w:val="0"/>
                    </w:numPr>
                    <w:spacing w:line="240" w:lineRule="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本项目污水处理设施采用一体化密闭设施，在运行过程中投加除臭剂。污水处理设施周边大气污染物最高允许浓度应达到《山东省医疗机构污染物排放控制标准》(DB37/596-2020)表2要求。</w:t>
                  </w:r>
                </w:p>
                <w:p>
                  <w:pPr>
                    <w:numPr>
                      <w:ilvl w:val="0"/>
                      <w:numId w:val="0"/>
                    </w:numPr>
                    <w:spacing w:line="240" w:lineRule="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煎药产生的废气执行《恶臭污染物排放标准》(GB14554-93)表1新改扩建二级恶臭污染物厂界标准值。</w:t>
                  </w:r>
                </w:p>
                <w:p>
                  <w:pPr>
                    <w:spacing w:line="240" w:lineRule="auto"/>
                    <w:ind w:firstLine="444" w:firstLineChars="200"/>
                    <w:jc w:val="center"/>
                    <w:rPr>
                      <w:rFonts w:hint="default" w:ascii="Times New Roman" w:hAnsi="Times New Roman" w:cs="Times New Roman"/>
                      <w:spacing w:val="6"/>
                      <w:sz w:val="21"/>
                      <w:szCs w:val="21"/>
                    </w:rPr>
                  </w:pPr>
                </w:p>
              </w:tc>
              <w:tc>
                <w:tcPr>
                  <w:tcW w:w="2128" w:type="pct"/>
                  <w:vAlign w:val="center"/>
                </w:tcPr>
                <w:p>
                  <w:pPr>
                    <w:numPr>
                      <w:ilvl w:val="0"/>
                      <w:numId w:val="0"/>
                    </w:numPr>
                    <w:spacing w:line="240" w:lineRule="auto"/>
                    <w:jc w:val="both"/>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项目</w:t>
                  </w:r>
                  <w:r>
                    <w:rPr>
                      <w:rFonts w:hint="default" w:ascii="Times New Roman" w:hAnsi="Times New Roman" w:eastAsia="宋体" w:cs="Times New Roman"/>
                      <w:color w:val="000000"/>
                      <w:sz w:val="21"/>
                      <w:szCs w:val="21"/>
                      <w:lang w:eastAsia="zh-CN"/>
                    </w:rPr>
                    <w:t>污水处理设施采用一体化密闭设施，在运行过程中投加除臭剂。验收期间污水处理设施下风向大气污染物</w:t>
                  </w:r>
                  <w:r>
                    <w:rPr>
                      <w:rFonts w:hint="default" w:ascii="Times New Roman" w:hAnsi="Times New Roman" w:cs="Times New Roman"/>
                      <w:color w:val="000000" w:themeColor="text1"/>
                      <w:sz w:val="21"/>
                      <w:szCs w:val="21"/>
                      <w14:textFill>
                        <w14:solidFill>
                          <w14:schemeClr w14:val="tx1"/>
                        </w14:solidFill>
                      </w14:textFill>
                    </w:rPr>
                    <w:t>氨最</w:t>
                  </w:r>
                  <w:r>
                    <w:rPr>
                      <w:rFonts w:hint="default" w:ascii="Times New Roman" w:hAnsi="Times New Roman" w:cs="Times New Roman"/>
                      <w:sz w:val="21"/>
                      <w:szCs w:val="21"/>
                    </w:rPr>
                    <w:t>大浓度为0.</w:t>
                  </w:r>
                  <w:r>
                    <w:rPr>
                      <w:rFonts w:hint="default" w:ascii="Times New Roman" w:hAnsi="Times New Roman" w:cs="Times New Roman"/>
                      <w:sz w:val="21"/>
                      <w:szCs w:val="21"/>
                      <w:lang w:val="en-US" w:eastAsia="zh-CN"/>
                    </w:rPr>
                    <w:t>06</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；臭气浓度</w:t>
                  </w:r>
                  <w:r>
                    <w:rPr>
                      <w:rFonts w:hint="default" w:ascii="Times New Roman" w:hAnsi="Times New Roman" w:cs="Times New Roman"/>
                      <w:sz w:val="21"/>
                      <w:szCs w:val="21"/>
                      <w:lang w:eastAsia="zh-CN"/>
                    </w:rPr>
                    <w:t>未检出</w:t>
                  </w:r>
                  <w:r>
                    <w:rPr>
                      <w:rFonts w:hint="default" w:ascii="Times New Roman" w:hAnsi="Times New Roman" w:cs="Times New Roman"/>
                      <w:sz w:val="21"/>
                      <w:szCs w:val="21"/>
                    </w:rPr>
                    <w:t>；</w:t>
                  </w:r>
                  <w:r>
                    <w:rPr>
                      <w:rFonts w:hint="default" w:ascii="Times New Roman" w:hAnsi="Times New Roman" w:cs="Times New Roman"/>
                      <w:sz w:val="21"/>
                      <w:szCs w:val="21"/>
                      <w:lang w:eastAsia="zh-CN"/>
                    </w:rPr>
                    <w:t>硫化氢</w:t>
                  </w:r>
                  <w:r>
                    <w:rPr>
                      <w:rFonts w:hint="default" w:ascii="Times New Roman" w:hAnsi="Times New Roman" w:cs="Times New Roman"/>
                      <w:sz w:val="21"/>
                      <w:szCs w:val="21"/>
                    </w:rPr>
                    <w:t>最大浓度为</w:t>
                  </w:r>
                  <w:r>
                    <w:rPr>
                      <w:rFonts w:hint="default" w:ascii="Times New Roman" w:hAnsi="Times New Roman" w:cs="Times New Roman"/>
                      <w:sz w:val="21"/>
                      <w:szCs w:val="21"/>
                      <w:lang w:val="en-US" w:eastAsia="zh-CN"/>
                    </w:rPr>
                    <w:t>0.014</w:t>
                  </w: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r>
                    <w:rPr>
                      <w:rFonts w:hint="default" w:ascii="Times New Roman" w:hAnsi="Times New Roman" w:eastAsia="宋体" w:cs="Times New Roman"/>
                      <w:color w:val="000000"/>
                      <w:sz w:val="21"/>
                      <w:szCs w:val="21"/>
                      <w:lang w:eastAsia="zh-CN"/>
                    </w:rPr>
                    <w:t>最高允许浓度满足《山东省医疗机构污染物排放控制标准》(DB37/596-2020)表2要求。</w:t>
                  </w:r>
                </w:p>
                <w:p>
                  <w:pPr>
                    <w:spacing w:line="240" w:lineRule="auto"/>
                    <w:jc w:val="both"/>
                    <w:rPr>
                      <w:rFonts w:hint="default" w:ascii="Times New Roman" w:hAnsi="Times New Roman" w:cs="Times New Roman" w:eastAsiaTheme="minorEastAsia"/>
                      <w:spacing w:val="6"/>
                      <w:sz w:val="21"/>
                      <w:szCs w:val="21"/>
                      <w:lang w:eastAsia="zh-CN"/>
                    </w:rPr>
                  </w:pPr>
                  <w:r>
                    <w:rPr>
                      <w:rFonts w:hint="default" w:ascii="Times New Roman" w:hAnsi="Times New Roman" w:eastAsia="宋体" w:cs="Times New Roman"/>
                      <w:color w:val="000000"/>
                      <w:sz w:val="21"/>
                      <w:szCs w:val="21"/>
                      <w:lang w:eastAsia="zh-CN"/>
                    </w:rPr>
                    <w:t>加强管理煎药产生的废气，</w:t>
                  </w:r>
                  <w:r>
                    <w:rPr>
                      <w:rFonts w:hint="default" w:ascii="Times New Roman" w:hAnsi="Times New Roman" w:cs="Times New Roman"/>
                      <w:spacing w:val="6"/>
                      <w:sz w:val="21"/>
                      <w:szCs w:val="21"/>
                      <w:lang w:eastAsia="zh-CN"/>
                    </w:rPr>
                    <w:t>验收期间</w:t>
                  </w:r>
                  <w:r>
                    <w:rPr>
                      <w:rFonts w:hint="default" w:ascii="Times New Roman" w:hAnsi="Times New Roman" w:cs="Times New Roman"/>
                      <w:color w:val="000000" w:themeColor="text1"/>
                      <w:sz w:val="21"/>
                      <w:szCs w:val="21"/>
                      <w:lang w:eastAsia="zh-CN"/>
                      <w14:textFill>
                        <w14:solidFill>
                          <w14:schemeClr w14:val="tx1"/>
                        </w14:solidFill>
                      </w14:textFill>
                    </w:rPr>
                    <w:t>厂界无组织废气臭气浓度未检出，满足</w:t>
                  </w:r>
                  <w:r>
                    <w:rPr>
                      <w:rFonts w:hint="default" w:ascii="Times New Roman" w:hAnsi="Times New Roman" w:eastAsia="宋体" w:cs="Times New Roman"/>
                      <w:color w:val="000000"/>
                      <w:sz w:val="21"/>
                      <w:szCs w:val="21"/>
                      <w:highlight w:val="none"/>
                      <w:lang w:val="en-US" w:eastAsia="zh-CN"/>
                    </w:rPr>
                    <w:t>《恶臭污染物排放标准》（GB14554-93）表1标准限值</w:t>
                  </w:r>
                </w:p>
              </w:tc>
              <w:tc>
                <w:tcPr>
                  <w:tcW w:w="532" w:type="pct"/>
                  <w:vAlign w:val="center"/>
                </w:tcPr>
                <w:p>
                  <w:pPr>
                    <w:spacing w:line="240" w:lineRule="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2</w:t>
                  </w:r>
                </w:p>
              </w:tc>
              <w:tc>
                <w:tcPr>
                  <w:tcW w:w="1888" w:type="pct"/>
                  <w:vAlign w:val="center"/>
                </w:tcPr>
                <w:p>
                  <w:pPr>
                    <w:spacing w:line="240" w:lineRule="auto"/>
                    <w:jc w:val="both"/>
                    <w:rPr>
                      <w:rFonts w:hint="default" w:ascii="Times New Roman" w:hAnsi="Times New Roman" w:cs="Times New Roman"/>
                      <w:spacing w:val="6"/>
                      <w:sz w:val="21"/>
                      <w:szCs w:val="21"/>
                    </w:rPr>
                  </w:pPr>
                  <w:r>
                    <w:rPr>
                      <w:rFonts w:hint="default" w:ascii="Times New Roman" w:hAnsi="Times New Roman" w:eastAsia="宋体" w:cs="Times New Roman"/>
                      <w:color w:val="000000"/>
                      <w:sz w:val="21"/>
                      <w:szCs w:val="21"/>
                      <w:lang w:eastAsia="zh-CN"/>
                    </w:rPr>
                    <w:t>营运期的废水主要为生活污水、医疗废水(门诊废水、病房废水、化验废水、手术废水)、煎药罐清洗废水、地面保洁废水。本项目一体化污水处理设施采用“格栅+水解酸化+A/0+次氯酸钠消毒”处理工艺，设计处理能力14m'/d。各类污水应全部收集，经化粪池沉淀预处理和一体化污水处理设施处理，确保水污染物排放浓度限值达到《山东省医疗机构污染物排放控制标准》(DB37/596-2020)表1二级标准的要求，并满足《污水排入城镇下水道水质标准》(GB/T31962-2015)A等级标准后，通过市政污水管网排入城市污水处理厂。污水处理设施、危废暂存间、事故应急水池、化粪池、污水管网等要按照报告表中的要求，采取防渗漏措施，防止污染土壤和地下水。</w:t>
                  </w:r>
                </w:p>
              </w:tc>
              <w:tc>
                <w:tcPr>
                  <w:tcW w:w="2128" w:type="pct"/>
                  <w:vAlign w:val="center"/>
                </w:tcPr>
                <w:p>
                  <w:pPr>
                    <w:spacing w:line="240" w:lineRule="auto"/>
                    <w:ind w:firstLine="420" w:firstLineChars="200"/>
                    <w:jc w:val="both"/>
                    <w:rPr>
                      <w:rFonts w:hint="default" w:ascii="Times New Roman" w:hAnsi="Times New Roman" w:cs="Times New Roman"/>
                      <w:spacing w:val="6"/>
                      <w:sz w:val="21"/>
                      <w:szCs w:val="21"/>
                    </w:rPr>
                  </w:pPr>
                  <w:r>
                    <w:rPr>
                      <w:rFonts w:hint="default" w:ascii="Times New Roman" w:hAnsi="Times New Roman" w:eastAsia="宋体" w:cs="Times New Roman"/>
                      <w:color w:val="000000"/>
                      <w:sz w:val="21"/>
                      <w:szCs w:val="21"/>
                      <w:lang w:eastAsia="zh-CN"/>
                    </w:rPr>
                    <w:t>营运期的废水主要为生活污水、医疗废水(门诊废水、病房废水、化验废水、手术废水)、煎药罐清洗废水、地面保洁废水</w:t>
                  </w:r>
                  <w:r>
                    <w:rPr>
                      <w:rFonts w:hint="default" w:ascii="Times New Roman" w:hAnsi="Times New Roman" w:cs="Times New Roman"/>
                      <w:spacing w:val="6"/>
                      <w:sz w:val="21"/>
                      <w:szCs w:val="21"/>
                    </w:rPr>
                    <w:t>，废水经污水处理站处理达标后，排入市政污水管网，进入光大水务（济南）有限公司一厂进行处理，处理达标后最终排入小清河。</w:t>
                  </w:r>
                </w:p>
                <w:p>
                  <w:pPr>
                    <w:spacing w:line="240" w:lineRule="auto"/>
                    <w:ind w:firstLine="420" w:firstLineChars="200"/>
                    <w:jc w:val="both"/>
                    <w:rPr>
                      <w:rFonts w:hint="default" w:ascii="Times New Roman" w:hAnsi="Times New Roman" w:cs="Times New Roman"/>
                      <w:sz w:val="21"/>
                      <w:szCs w:val="21"/>
                    </w:rPr>
                  </w:pPr>
                  <w:r>
                    <w:rPr>
                      <w:rFonts w:hint="default" w:ascii="Times New Roman" w:hAnsi="Times New Roman" w:cs="Times New Roman"/>
                      <w:sz w:val="21"/>
                      <w:szCs w:val="21"/>
                    </w:rPr>
                    <w:t>验收监测期间，废水排放口pH、化学需氧量、氨氮、悬浮物、</w:t>
                  </w:r>
                  <w:r>
                    <w:rPr>
                      <w:rFonts w:hint="default" w:ascii="Times New Roman" w:hAnsi="Times New Roman" w:cs="Times New Roman"/>
                      <w:sz w:val="21"/>
                      <w:szCs w:val="21"/>
                      <w:lang w:val="en-US" w:eastAsia="zh-CN"/>
                    </w:rPr>
                    <w:t>BOD</w:t>
                  </w:r>
                  <w:r>
                    <w:rPr>
                      <w:rFonts w:hint="default" w:ascii="Times New Roman" w:hAnsi="Times New Roman" w:cs="Times New Roman"/>
                      <w:sz w:val="21"/>
                      <w:szCs w:val="21"/>
                      <w:vertAlign w:val="subscript"/>
                      <w:lang w:val="en-US" w:eastAsia="zh-CN"/>
                    </w:rPr>
                    <w:t>5</w:t>
                  </w:r>
                  <w:r>
                    <w:rPr>
                      <w:rFonts w:hint="default" w:ascii="Times New Roman" w:hAnsi="Times New Roman" w:cs="Times New Roman"/>
                      <w:sz w:val="21"/>
                      <w:szCs w:val="21"/>
                    </w:rPr>
                    <w:t>、粪大肠菌群、总余氯的最大排放浓度分别为</w:t>
                  </w:r>
                  <w:r>
                    <w:rPr>
                      <w:rFonts w:hint="default" w:ascii="Times New Roman" w:hAnsi="Times New Roman" w:cs="Times New Roman"/>
                      <w:sz w:val="21"/>
                      <w:szCs w:val="21"/>
                      <w:lang w:val="en-US" w:eastAsia="zh-CN"/>
                    </w:rPr>
                    <w:t>7.4</w:t>
                  </w:r>
                  <w:r>
                    <w:rPr>
                      <w:rFonts w:hint="default" w:ascii="Times New Roman" w:hAnsi="Times New Roman" w:cs="Times New Roman"/>
                      <w:sz w:val="21"/>
                      <w:szCs w:val="21"/>
                    </w:rPr>
                    <w:t>（无量纲）、</w:t>
                  </w:r>
                  <w:r>
                    <w:rPr>
                      <w:rFonts w:hint="default" w:ascii="Times New Roman" w:hAnsi="Times New Roman" w:cs="Times New Roman"/>
                      <w:sz w:val="21"/>
                      <w:szCs w:val="21"/>
                      <w:lang w:val="en-US" w:eastAsia="zh-CN"/>
                    </w:rPr>
                    <w:t>73</w:t>
                  </w:r>
                  <w:r>
                    <w:rPr>
                      <w:rFonts w:hint="default" w:ascii="Times New Roman" w:hAnsi="Times New Roman" w:cs="Times New Roman"/>
                      <w:sz w:val="21"/>
                      <w:szCs w:val="21"/>
                    </w:rPr>
                    <w:t>mg/L、1.</w:t>
                  </w:r>
                  <w:r>
                    <w:rPr>
                      <w:rFonts w:hint="default" w:ascii="Times New Roman" w:hAnsi="Times New Roman" w:cs="Times New Roman"/>
                      <w:sz w:val="21"/>
                      <w:szCs w:val="21"/>
                      <w:lang w:val="en-US" w:eastAsia="zh-CN"/>
                    </w:rPr>
                    <w:t>57</w:t>
                  </w:r>
                  <w:r>
                    <w:rPr>
                      <w:rFonts w:hint="default" w:ascii="Times New Roman" w:hAnsi="Times New Roman" w:cs="Times New Roman"/>
                      <w:sz w:val="21"/>
                      <w:szCs w:val="21"/>
                    </w:rPr>
                    <w:t>mg/L、</w:t>
                  </w:r>
                  <w:r>
                    <w:rPr>
                      <w:rFonts w:hint="default" w:ascii="Times New Roman" w:hAnsi="Times New Roman" w:cs="Times New Roman"/>
                      <w:sz w:val="21"/>
                      <w:szCs w:val="21"/>
                      <w:lang w:val="en-US" w:eastAsia="zh-CN"/>
                    </w:rPr>
                    <w:t>26</w:t>
                  </w:r>
                  <w:r>
                    <w:rPr>
                      <w:rFonts w:hint="default" w:ascii="Times New Roman" w:hAnsi="Times New Roman" w:cs="Times New Roman"/>
                      <w:sz w:val="21"/>
                      <w:szCs w:val="21"/>
                    </w:rPr>
                    <w:t>mg/L、</w:t>
                  </w:r>
                  <w:r>
                    <w:rPr>
                      <w:rFonts w:hint="default" w:ascii="Times New Roman" w:hAnsi="Times New Roman" w:cs="Times New Roman"/>
                      <w:sz w:val="21"/>
                      <w:szCs w:val="21"/>
                      <w:lang w:val="en-US" w:eastAsia="zh-CN"/>
                    </w:rPr>
                    <w:t>23.1</w:t>
                  </w:r>
                  <w:r>
                    <w:rPr>
                      <w:rFonts w:hint="default" w:ascii="Times New Roman" w:hAnsi="Times New Roman" w:cs="Times New Roman"/>
                      <w:sz w:val="21"/>
                      <w:szCs w:val="21"/>
                    </w:rPr>
                    <w:t>mg/L</w:t>
                  </w:r>
                  <w:r>
                    <w:rPr>
                      <w:rFonts w:hint="default" w:ascii="Times New Roman" w:hAnsi="Times New Roman" w:cs="Times New Roman"/>
                      <w:sz w:val="21"/>
                      <w:szCs w:val="21"/>
                      <w:lang w:eastAsia="zh-CN"/>
                    </w:rPr>
                    <w:t>、</w:t>
                  </w: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0MPN/L、3.</w:t>
                  </w:r>
                  <w:r>
                    <w:rPr>
                      <w:rFonts w:hint="default" w:ascii="Times New Roman" w:hAnsi="Times New Roman" w:cs="Times New Roman"/>
                      <w:sz w:val="21"/>
                      <w:szCs w:val="21"/>
                      <w:lang w:val="en-US" w:eastAsia="zh-CN"/>
                    </w:rPr>
                    <w:t>63</w:t>
                  </w:r>
                  <w:r>
                    <w:rPr>
                      <w:rFonts w:hint="default" w:ascii="Times New Roman" w:hAnsi="Times New Roman" w:cs="Times New Roman"/>
                      <w:sz w:val="21"/>
                      <w:szCs w:val="21"/>
                    </w:rPr>
                    <w:t>mg/L，</w:t>
                  </w:r>
                  <w:r>
                    <w:rPr>
                      <w:rFonts w:hint="default" w:ascii="Times New Roman" w:hAnsi="Times New Roman" w:eastAsia="宋体" w:cs="Times New Roman"/>
                      <w:sz w:val="21"/>
                      <w:szCs w:val="21"/>
                    </w:rPr>
                    <w:t>满足</w:t>
                  </w:r>
                  <w:r>
                    <w:rPr>
                      <w:rFonts w:hint="default" w:ascii="Times New Roman" w:hAnsi="Times New Roman" w:cs="Times New Roman"/>
                      <w:sz w:val="21"/>
                      <w:szCs w:val="21"/>
                    </w:rPr>
                    <w:t>《山东省医疗机构污染物排放控制标准》（DB37/596-2020）表1中二级标准、《污水排入城镇下水道水质标准》（GB/T31962-2015）A等级标准及光大水务（济南）有限公司一厂进水水质要求。</w:t>
                  </w:r>
                </w:p>
                <w:p>
                  <w:pPr>
                    <w:spacing w:line="240" w:lineRule="auto"/>
                    <w:ind w:firstLine="444" w:firstLineChars="200"/>
                    <w:jc w:val="both"/>
                    <w:rPr>
                      <w:rFonts w:hint="default" w:ascii="Times New Roman" w:hAnsi="Times New Roman" w:cs="Times New Roman"/>
                      <w:spacing w:val="6"/>
                      <w:sz w:val="21"/>
                      <w:szCs w:val="21"/>
                    </w:rPr>
                  </w:pPr>
                </w:p>
              </w:tc>
              <w:tc>
                <w:tcPr>
                  <w:tcW w:w="532" w:type="pct"/>
                  <w:vAlign w:val="center"/>
                </w:tcPr>
                <w:p>
                  <w:pPr>
                    <w:spacing w:line="240" w:lineRule="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3</w:t>
                  </w:r>
                </w:p>
              </w:tc>
              <w:tc>
                <w:tcPr>
                  <w:tcW w:w="1888" w:type="pct"/>
                  <w:vAlign w:val="center"/>
                </w:tcPr>
                <w:p>
                  <w:pPr>
                    <w:numPr>
                      <w:ilvl w:val="0"/>
                      <w:numId w:val="0"/>
                    </w:numPr>
                    <w:spacing w:line="240" w:lineRule="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各类声源应选用低噪声设备并合理布局，同时采取消音、隔声、减震等降噪措施，厂界环境噪声排放限值不得超过《工业企业厂界环境噪声排放标准》(GB12348--2008)表1中1类标准的排放限值。</w:t>
                  </w:r>
                </w:p>
                <w:p>
                  <w:pPr>
                    <w:spacing w:line="240" w:lineRule="auto"/>
                    <w:ind w:firstLine="444" w:firstLineChars="200"/>
                    <w:jc w:val="center"/>
                    <w:rPr>
                      <w:rFonts w:hint="default" w:ascii="Times New Roman" w:hAnsi="Times New Roman" w:cs="Times New Roman"/>
                      <w:spacing w:val="6"/>
                      <w:sz w:val="21"/>
                      <w:szCs w:val="21"/>
                    </w:rPr>
                  </w:pPr>
                </w:p>
              </w:tc>
              <w:tc>
                <w:tcPr>
                  <w:tcW w:w="2128" w:type="pct"/>
                  <w:vAlign w:val="center"/>
                </w:tcPr>
                <w:p>
                  <w:pPr>
                    <w:spacing w:line="240" w:lineRule="auto"/>
                    <w:ind w:firstLine="444" w:firstLineChars="200"/>
                    <w:jc w:val="both"/>
                    <w:rPr>
                      <w:rFonts w:hint="default" w:ascii="Times New Roman" w:hAnsi="Times New Roman" w:cs="Times New Roman"/>
                      <w:spacing w:val="6"/>
                      <w:sz w:val="21"/>
                      <w:szCs w:val="21"/>
                    </w:rPr>
                  </w:pPr>
                  <w:r>
                    <w:rPr>
                      <w:rFonts w:hint="default" w:ascii="Times New Roman" w:hAnsi="Times New Roman" w:cs="Times New Roman"/>
                      <w:spacing w:val="6"/>
                      <w:sz w:val="21"/>
                      <w:szCs w:val="21"/>
                    </w:rPr>
                    <w:t>本项目建成后，主要噪声源为仪器设备、风机等设备运行时产生的噪声、以及社会噪声、交通噪声。通过墙体隔声、消声、距离衰减、加强管理等措施，减轻设备运转噪</w:t>
                  </w:r>
                </w:p>
                <w:p>
                  <w:pPr>
                    <w:spacing w:line="240" w:lineRule="auto"/>
                    <w:jc w:val="both"/>
                    <w:rPr>
                      <w:rFonts w:hint="default" w:ascii="Times New Roman" w:hAnsi="Times New Roman" w:cs="Times New Roman"/>
                      <w:spacing w:val="6"/>
                      <w:sz w:val="21"/>
                      <w:szCs w:val="21"/>
                    </w:rPr>
                  </w:pPr>
                  <w:r>
                    <w:rPr>
                      <w:rFonts w:hint="default" w:ascii="Times New Roman" w:hAnsi="Times New Roman" w:cs="Times New Roman"/>
                      <w:spacing w:val="6"/>
                      <w:sz w:val="21"/>
                      <w:szCs w:val="21"/>
                    </w:rPr>
                    <w:t>声对周围环境的影响。</w:t>
                  </w:r>
                </w:p>
                <w:p>
                  <w:pPr>
                    <w:spacing w:line="240" w:lineRule="auto"/>
                    <w:ind w:firstLine="420" w:firstLineChars="200"/>
                    <w:jc w:val="both"/>
                    <w:rPr>
                      <w:rFonts w:hint="default" w:ascii="Times New Roman" w:hAnsi="Times New Roman" w:cs="Times New Roman"/>
                      <w:spacing w:val="6"/>
                      <w:sz w:val="21"/>
                      <w:szCs w:val="21"/>
                    </w:rPr>
                  </w:pPr>
                  <w:r>
                    <w:rPr>
                      <w:rFonts w:hint="default" w:ascii="Times New Roman" w:hAnsi="Times New Roman" w:eastAsia="宋体" w:cs="Times New Roman"/>
                      <w:sz w:val="21"/>
                      <w:szCs w:val="21"/>
                    </w:rPr>
                    <w:t>验收监测期间，东、南、西、北厂界昼间噪声值范围在50.</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~5</w:t>
                  </w:r>
                  <w:r>
                    <w:rPr>
                      <w:rFonts w:hint="default" w:ascii="Times New Roman" w:hAnsi="Times New Roman" w:eastAsia="宋体" w:cs="Times New Roman"/>
                      <w:sz w:val="21"/>
                      <w:szCs w:val="21"/>
                      <w:lang w:val="en-US" w:eastAsia="zh-CN"/>
                    </w:rPr>
                    <w:t>4.1</w:t>
                  </w:r>
                  <w:r>
                    <w:rPr>
                      <w:rFonts w:hint="default" w:ascii="Times New Roman" w:hAnsi="Times New Roman" w:cs="Times New Roman"/>
                      <w:sz w:val="21"/>
                      <w:szCs w:val="21"/>
                    </w:rPr>
                    <w:t>dB（A）</w:t>
                  </w:r>
                  <w:r>
                    <w:rPr>
                      <w:rFonts w:hint="default" w:ascii="Times New Roman" w:hAnsi="Times New Roman" w:eastAsia="宋体" w:cs="Times New Roman"/>
                      <w:sz w:val="21"/>
                      <w:szCs w:val="21"/>
                    </w:rPr>
                    <w:t>之间，夜间噪声值范围在40.</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44</w:t>
                  </w:r>
                  <w:r>
                    <w:rPr>
                      <w:rFonts w:hint="default" w:ascii="Times New Roman" w:hAnsi="Times New Roman" w:cs="Times New Roman"/>
                      <w:sz w:val="21"/>
                      <w:szCs w:val="21"/>
                    </w:rPr>
                    <w:t>dB（A）</w:t>
                  </w:r>
                  <w:r>
                    <w:rPr>
                      <w:rFonts w:hint="default" w:ascii="Times New Roman" w:hAnsi="Times New Roman" w:eastAsia="宋体" w:cs="Times New Roman"/>
                      <w:sz w:val="21"/>
                      <w:szCs w:val="21"/>
                    </w:rPr>
                    <w:t>之间，能够满足《工业企业厂界环境噪声排放标准》（GB12348-2008）表1类标准。</w:t>
                  </w:r>
                </w:p>
              </w:tc>
              <w:tc>
                <w:tcPr>
                  <w:tcW w:w="532" w:type="pct"/>
                  <w:vAlign w:val="center"/>
                </w:tcPr>
                <w:p>
                  <w:pPr>
                    <w:spacing w:line="240" w:lineRule="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4</w:t>
                  </w:r>
                </w:p>
              </w:tc>
              <w:tc>
                <w:tcPr>
                  <w:tcW w:w="1888" w:type="pct"/>
                  <w:vAlign w:val="center"/>
                </w:tcPr>
                <w:p>
                  <w:pPr>
                    <w:numPr>
                      <w:ilvl w:val="0"/>
                      <w:numId w:val="0"/>
                    </w:numPr>
                    <w:spacing w:line="240" w:lineRule="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运营期的固体废物包括一般固体废物、危险废物及生活垃圾。一般固体废物包括未被污染的包装材料、塑料(玻璃)输液瓶(袋)、药渣等。危险废物主要包括医疗废物、废紫外灯管、化粪池污泥、污水处理栅渣及污泥。危险废物的收集、贮存等须满足《危险废物贮存污染控制标准》(GB18597-2001)及2013年修改单和《山东省医疗机构污染物排放控制标准》(D37/596-2020)的要求。危险废物应按规定委托有资质的单位进行处理处置，并严格执行转移联单等管理制度。一般固体废物收集后外售。生活垃圾、药渣委托城市管理部门收集处置。</w:t>
                  </w:r>
                </w:p>
                <w:p>
                  <w:pPr>
                    <w:spacing w:line="240" w:lineRule="auto"/>
                    <w:ind w:firstLine="444" w:firstLineChars="200"/>
                    <w:jc w:val="center"/>
                    <w:rPr>
                      <w:rFonts w:hint="default" w:ascii="Times New Roman" w:hAnsi="Times New Roman" w:cs="Times New Roman"/>
                      <w:spacing w:val="6"/>
                      <w:sz w:val="21"/>
                      <w:szCs w:val="21"/>
                    </w:rPr>
                  </w:pPr>
                </w:p>
              </w:tc>
              <w:tc>
                <w:tcPr>
                  <w:tcW w:w="2128" w:type="pct"/>
                  <w:vAlign w:val="center"/>
                </w:tcPr>
                <w:p>
                  <w:pPr>
                    <w:numPr>
                      <w:ilvl w:val="0"/>
                      <w:numId w:val="0"/>
                    </w:numPr>
                    <w:spacing w:line="240" w:lineRule="auto"/>
                    <w:ind w:firstLine="420" w:firstLineChars="200"/>
                    <w:jc w:val="both"/>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运营期的固体废物包括一般固体废物、危险废物及生活垃圾。一般固体废物包括未被污染的包装材料、塑料(玻璃)输液瓶(袋)等外售综合利用，药渣由环卫部门定期清运。危险废物主要包括医疗废物、废紫外灯管、化粪池污泥、污水处理栅渣及污泥。危险废物的收集、贮存等须满足《危险废物贮存污染控制标准》(GB18597-2001)及2013年修改单和《山东省医疗机构污染物排放控制标准》(D37/596-2020)的要求。危险废物按规定委托有资质的单位（医疗废物委托济南腾笙环保科技有限公司，栅渣</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eastAsia="zh-CN"/>
                    </w:rPr>
                    <w:t>污泥、废</w:t>
                  </w:r>
                  <w:r>
                    <w:rPr>
                      <w:rFonts w:hint="default" w:ascii="Times New Roman" w:hAnsi="Times New Roman" w:eastAsia="宋体" w:cs="Times New Roman"/>
                      <w:color w:val="000000"/>
                      <w:sz w:val="21"/>
                      <w:szCs w:val="21"/>
                      <w:highlight w:val="none"/>
                      <w:lang w:eastAsia="zh-CN"/>
                    </w:rPr>
                    <w:t>灯管等委托</w:t>
                  </w:r>
                  <w:r>
                    <w:rPr>
                      <w:rFonts w:hint="eastAsia" w:ascii="宋体" w:hAnsi="宋体" w:cs="宋体"/>
                      <w:spacing w:val="0"/>
                      <w:w w:val="100"/>
                      <w:sz w:val="21"/>
                      <w:szCs w:val="21"/>
                      <w:lang w:eastAsia="zh-CN"/>
                    </w:rPr>
                    <w:t>山东中再生环境科技有限公司</w:t>
                  </w:r>
                  <w:r>
                    <w:rPr>
                      <w:rFonts w:hint="default" w:ascii="Times New Roman" w:hAnsi="Times New Roman" w:eastAsia="宋体" w:cs="Times New Roman"/>
                      <w:color w:val="000000"/>
                      <w:sz w:val="21"/>
                      <w:szCs w:val="21"/>
                      <w:lang w:eastAsia="zh-CN"/>
                    </w:rPr>
                    <w:t>）进行处理处置，并严格执行转移联单等管理制度。一般固体废物收集后外售。生活垃圾、药渣委托城市管理部门收集处置。</w:t>
                  </w:r>
                </w:p>
                <w:p>
                  <w:pPr>
                    <w:spacing w:line="240" w:lineRule="auto"/>
                    <w:ind w:firstLine="444" w:firstLineChars="200"/>
                    <w:jc w:val="both"/>
                    <w:rPr>
                      <w:rFonts w:hint="default" w:ascii="Times New Roman" w:hAnsi="Times New Roman" w:cs="Times New Roman"/>
                      <w:spacing w:val="6"/>
                      <w:sz w:val="21"/>
                      <w:szCs w:val="21"/>
                    </w:rPr>
                  </w:pPr>
                </w:p>
              </w:tc>
              <w:tc>
                <w:tcPr>
                  <w:tcW w:w="532" w:type="pct"/>
                  <w:vAlign w:val="center"/>
                </w:tcPr>
                <w:p>
                  <w:pPr>
                    <w:spacing w:line="240" w:lineRule="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pacing w:val="6"/>
                      <w:sz w:val="21"/>
                      <w:szCs w:val="21"/>
                      <w:lang w:eastAsia="zh-CN"/>
                    </w:rPr>
                  </w:pPr>
                  <w:r>
                    <w:rPr>
                      <w:rFonts w:hint="eastAsia" w:ascii="Times New Roman" w:hAnsi="Times New Roman" w:cs="Times New Roman"/>
                      <w:spacing w:val="6"/>
                      <w:sz w:val="21"/>
                      <w:szCs w:val="21"/>
                      <w:lang w:val="en-US" w:eastAsia="zh-CN"/>
                    </w:rPr>
                    <w:t>5</w:t>
                  </w:r>
                </w:p>
              </w:tc>
              <w:tc>
                <w:tcPr>
                  <w:tcW w:w="1888" w:type="pct"/>
                  <w:vAlign w:val="center"/>
                </w:tcPr>
                <w:p>
                  <w:pPr>
                    <w:spacing w:line="240" w:lineRule="auto"/>
                    <w:jc w:val="both"/>
                    <w:rPr>
                      <w:rFonts w:hint="default" w:ascii="Times New Roman" w:hAnsi="Times New Roman" w:cs="Times New Roman"/>
                      <w:spacing w:val="6"/>
                      <w:sz w:val="21"/>
                      <w:szCs w:val="21"/>
                    </w:rPr>
                  </w:pPr>
                  <w:r>
                    <w:rPr>
                      <w:rFonts w:hint="default" w:ascii="Times New Roman" w:hAnsi="Times New Roman" w:eastAsia="宋体" w:cs="Times New Roman"/>
                      <w:sz w:val="21"/>
                      <w:szCs w:val="21"/>
                    </w:rPr>
                    <w:t>严格落实环境风险防范措施。建设单位应当对施工期、运营期的环保设施与生产设施开展安全风险辩识管理，制定突发环境应急预案，采取切实可行的事故应急和风险防范措施，防止突发性环境污染事故的发生。</w:t>
                  </w:r>
                </w:p>
              </w:tc>
              <w:tc>
                <w:tcPr>
                  <w:tcW w:w="2128" w:type="pct"/>
                  <w:vAlign w:val="center"/>
                </w:tcPr>
                <w:p>
                  <w:pPr>
                    <w:spacing w:line="240" w:lineRule="auto"/>
                    <w:jc w:val="both"/>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spacing w:val="6"/>
                      <w:sz w:val="21"/>
                      <w:szCs w:val="21"/>
                    </w:rPr>
                    <w:t>企业环境风险</w:t>
                  </w:r>
                  <w:r>
                    <w:rPr>
                      <w:rFonts w:hint="default" w:ascii="Times New Roman" w:hAnsi="Times New Roman" w:cs="Times New Roman"/>
                      <w:spacing w:val="6"/>
                      <w:sz w:val="21"/>
                      <w:szCs w:val="21"/>
                      <w:lang w:eastAsia="zh-CN"/>
                    </w:rPr>
                    <w:t>应急预案已经备案</w:t>
                  </w:r>
                  <w:r>
                    <w:rPr>
                      <w:rFonts w:hint="default" w:ascii="Times New Roman" w:hAnsi="Times New Roman" w:cs="Times New Roman"/>
                      <w:spacing w:val="6"/>
                      <w:sz w:val="21"/>
                      <w:szCs w:val="21"/>
                    </w:rPr>
                    <w:t>，</w:t>
                  </w:r>
                  <w:r>
                    <w:rPr>
                      <w:rFonts w:hint="eastAsia" w:ascii="Times New Roman" w:hAnsi="Times New Roman" w:cs="Times New Roman"/>
                      <w:spacing w:val="6"/>
                      <w:sz w:val="21"/>
                      <w:szCs w:val="21"/>
                      <w:lang w:eastAsia="zh-CN"/>
                    </w:rPr>
                    <w:t>备案编号为</w:t>
                  </w:r>
                  <w:r>
                    <w:rPr>
                      <w:rFonts w:hint="eastAsia" w:ascii="Times New Roman" w:hAnsi="Times New Roman" w:cs="Times New Roman"/>
                      <w:spacing w:val="6"/>
                      <w:sz w:val="21"/>
                      <w:szCs w:val="21"/>
                      <w:lang w:val="en-US" w:eastAsia="zh-CN"/>
                    </w:rPr>
                    <w:t>370102—2022—029L（详见附件7），</w:t>
                  </w:r>
                  <w:r>
                    <w:rPr>
                      <w:rFonts w:hint="default" w:ascii="Times New Roman" w:hAnsi="Times New Roman" w:cs="Times New Roman"/>
                      <w:spacing w:val="6"/>
                      <w:sz w:val="21"/>
                      <w:szCs w:val="21"/>
                      <w:lang w:eastAsia="zh-CN"/>
                    </w:rPr>
                    <w:t>并按照要求设置了</w:t>
                  </w:r>
                  <w:r>
                    <w:rPr>
                      <w:rFonts w:hint="default" w:ascii="Times New Roman" w:hAnsi="Times New Roman" w:cs="Times New Roman"/>
                      <w:spacing w:val="6"/>
                      <w:sz w:val="21"/>
                      <w:szCs w:val="21"/>
                      <w:lang w:val="en-US" w:eastAsia="zh-CN"/>
                    </w:rPr>
                    <w:t>12m</w:t>
                  </w:r>
                  <w:r>
                    <w:rPr>
                      <w:rFonts w:hint="default" w:ascii="Times New Roman" w:hAnsi="Times New Roman" w:cs="Times New Roman"/>
                      <w:spacing w:val="6"/>
                      <w:sz w:val="21"/>
                      <w:szCs w:val="21"/>
                      <w:vertAlign w:val="superscript"/>
                      <w:lang w:val="en-US" w:eastAsia="zh-CN"/>
                    </w:rPr>
                    <w:t>3</w:t>
                  </w:r>
                  <w:r>
                    <w:rPr>
                      <w:rFonts w:hint="default" w:ascii="Times New Roman" w:hAnsi="Times New Roman" w:cs="Times New Roman"/>
                      <w:spacing w:val="6"/>
                      <w:sz w:val="21"/>
                      <w:szCs w:val="21"/>
                      <w:lang w:eastAsia="zh-CN"/>
                    </w:rPr>
                    <w:t>事故应急池。</w:t>
                  </w:r>
                </w:p>
              </w:tc>
              <w:tc>
                <w:tcPr>
                  <w:tcW w:w="532" w:type="pct"/>
                  <w:vAlign w:val="center"/>
                </w:tcPr>
                <w:p>
                  <w:pPr>
                    <w:spacing w:line="240" w:lineRule="auto"/>
                    <w:rPr>
                      <w:rFonts w:hint="default" w:ascii="Times New Roman" w:hAnsi="Times New Roman" w:cs="Times New Roman"/>
                      <w:spacing w:val="6"/>
                      <w:sz w:val="21"/>
                      <w:szCs w:val="21"/>
                    </w:rPr>
                  </w:pPr>
                  <w:r>
                    <w:rPr>
                      <w:rFonts w:hint="default" w:ascii="Times New Roman" w:hAnsi="Times New Roman" w:cs="Times New Roman"/>
                      <w:spacing w:val="6"/>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50"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spacing w:val="6"/>
                      <w:sz w:val="21"/>
                      <w:szCs w:val="21"/>
                      <w:lang w:val="en-US" w:eastAsia="zh-CN"/>
                    </w:rPr>
                  </w:pPr>
                  <w:r>
                    <w:rPr>
                      <w:rFonts w:hint="eastAsia" w:ascii="Times New Roman" w:hAnsi="Times New Roman" w:cs="Times New Roman"/>
                      <w:spacing w:val="6"/>
                      <w:sz w:val="21"/>
                      <w:szCs w:val="21"/>
                      <w:lang w:val="en-US" w:eastAsia="zh-CN"/>
                    </w:rPr>
                    <w:t>6</w:t>
                  </w:r>
                </w:p>
              </w:tc>
              <w:tc>
                <w:tcPr>
                  <w:tcW w:w="1888" w:type="pct"/>
                  <w:vAlign w:val="center"/>
                </w:tcPr>
                <w:p>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你单位应当按照环境保护设施的设计要求和排污许可证规定的排放要求，制定完善环境保护管理制度和操作规程，并保障环境保护设施正常运行。</w:t>
                  </w:r>
                </w:p>
              </w:tc>
              <w:tc>
                <w:tcPr>
                  <w:tcW w:w="2128" w:type="pct"/>
                  <w:vAlign w:val="center"/>
                </w:tcPr>
                <w:p>
                  <w:pPr>
                    <w:keepNext w:val="0"/>
                    <w:keepLines w:val="0"/>
                    <w:widowControl/>
                    <w:suppressLineNumbers w:val="0"/>
                    <w:spacing w:line="240" w:lineRule="auto"/>
                    <w:jc w:val="both"/>
                    <w:rPr>
                      <w:rFonts w:hint="default" w:ascii="Times New Roman" w:hAnsi="Times New Roman" w:cs="Times New Roman"/>
                      <w:sz w:val="21"/>
                      <w:szCs w:val="21"/>
                    </w:rPr>
                  </w:pPr>
                  <w:r>
                    <w:rPr>
                      <w:rFonts w:hint="default" w:ascii="Times New Roman" w:hAnsi="Times New Roman" w:cs="Times New Roman"/>
                      <w:spacing w:val="6"/>
                      <w:sz w:val="21"/>
                      <w:szCs w:val="21"/>
                      <w:lang w:eastAsia="zh-CN"/>
                    </w:rPr>
                    <w:t>严格按照</w:t>
                  </w:r>
                  <w:r>
                    <w:rPr>
                      <w:rFonts w:hint="default" w:ascii="Times New Roman" w:hAnsi="Times New Roman" w:eastAsia="宋体" w:cs="Times New Roman"/>
                      <w:sz w:val="21"/>
                      <w:szCs w:val="21"/>
                    </w:rPr>
                    <w:t>境保护设施的设计要求</w:t>
                  </w:r>
                  <w:r>
                    <w:rPr>
                      <w:rFonts w:hint="default" w:ascii="Times New Roman" w:hAnsi="Times New Roman" w:eastAsia="宋体" w:cs="Times New Roman"/>
                      <w:sz w:val="21"/>
                      <w:szCs w:val="21"/>
                      <w:lang w:eastAsia="zh-CN"/>
                    </w:rPr>
                    <w:t>施工安装并已经按照要求申领了排污许可证，登记编号为</w:t>
                  </w:r>
                  <w:r>
                    <w:rPr>
                      <w:rFonts w:hint="default" w:ascii="Times New Roman" w:hAnsi="Times New Roman" w:eastAsia="微软雅黑" w:cs="Times New Roman"/>
                      <w:color w:val="000000"/>
                      <w:kern w:val="0"/>
                      <w:sz w:val="21"/>
                      <w:szCs w:val="21"/>
                      <w:lang w:val="en-US" w:eastAsia="zh-CN" w:bidi="ar"/>
                    </w:rPr>
                    <w:t xml:space="preserve">91370102MA3PF6476P002X </w:t>
                  </w:r>
                </w:p>
                <w:p>
                  <w:pPr>
                    <w:spacing w:line="240" w:lineRule="auto"/>
                    <w:ind w:firstLine="444" w:firstLineChars="200"/>
                    <w:jc w:val="both"/>
                    <w:rPr>
                      <w:rFonts w:hint="default" w:ascii="Times New Roman" w:hAnsi="Times New Roman" w:eastAsia="宋体" w:cs="Times New Roman"/>
                      <w:spacing w:val="6"/>
                      <w:sz w:val="21"/>
                      <w:szCs w:val="21"/>
                      <w:lang w:eastAsia="zh-CN"/>
                    </w:rPr>
                  </w:pPr>
                </w:p>
              </w:tc>
              <w:tc>
                <w:tcPr>
                  <w:tcW w:w="532" w:type="pct"/>
                  <w:vAlign w:val="center"/>
                </w:tcPr>
                <w:p>
                  <w:pPr>
                    <w:spacing w:line="240" w:lineRule="auto"/>
                    <w:rPr>
                      <w:rFonts w:hint="default" w:ascii="Times New Roman" w:hAnsi="Times New Roman" w:cs="Times New Roman"/>
                      <w:spacing w:val="6"/>
                      <w:sz w:val="21"/>
                      <w:szCs w:val="21"/>
                    </w:rPr>
                  </w:pPr>
                </w:p>
              </w:tc>
            </w:tr>
          </w:tbl>
          <w:p>
            <w:pPr>
              <w:spacing w:line="360" w:lineRule="auto"/>
              <w:rPr>
                <w:rFonts w:ascii="Times New Roman" w:hAnsi="Times New Roman" w:cs="Times New Roman"/>
                <w:spacing w:val="6"/>
                <w:sz w:val="28"/>
                <w:szCs w:val="28"/>
              </w:rPr>
            </w:pPr>
          </w:p>
        </w:tc>
      </w:tr>
    </w:tbl>
    <w:p>
      <w:pPr>
        <w:pStyle w:val="4"/>
        <w:spacing w:before="0" w:after="0" w:line="360" w:lineRule="auto"/>
        <w:jc w:val="left"/>
        <w:rPr>
          <w:rFonts w:ascii="Times New Roman" w:hAnsi="Times New Roman" w:cs="Times New Roman"/>
          <w:sz w:val="28"/>
          <w:szCs w:val="28"/>
        </w:rPr>
      </w:pPr>
      <w:bookmarkStart w:id="11" w:name="_Toc516087080"/>
      <w:r>
        <w:rPr>
          <w:rFonts w:ascii="Times New Roman" w:hAnsi="Times New Roman" w:cs="Times New Roman"/>
          <w:sz w:val="28"/>
          <w:szCs w:val="28"/>
        </w:rPr>
        <w:t>表八  验收监测结论与建议</w:t>
      </w:r>
      <w:bookmarkEnd w:id="11"/>
    </w:p>
    <w:tbl>
      <w:tblPr>
        <w:tblStyle w:val="31"/>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111" w:hRule="atLeast"/>
          <w:jc w:val="center"/>
        </w:trPr>
        <w:tc>
          <w:tcPr>
            <w:tcW w:w="5000" w:type="pct"/>
          </w:tcPr>
          <w:p>
            <w:pPr>
              <w:spacing w:line="460" w:lineRule="exact"/>
              <w:rPr>
                <w:rFonts w:ascii="Times New Roman" w:hAnsi="Times New Roman" w:eastAsia="宋体" w:cs="Times New Roman"/>
                <w:b/>
                <w:spacing w:val="6"/>
                <w:sz w:val="28"/>
                <w:szCs w:val="28"/>
              </w:rPr>
            </w:pPr>
            <w:r>
              <w:rPr>
                <w:rFonts w:ascii="Times New Roman" w:hAnsi="Times New Roman" w:cs="Times New Roman"/>
                <w:b/>
                <w:sz w:val="28"/>
                <w:szCs w:val="28"/>
              </w:rPr>
              <w:t>验收监测结论与建议：</w:t>
            </w:r>
          </w:p>
          <w:p>
            <w:pPr>
              <w:spacing w:line="360" w:lineRule="auto"/>
              <w:rPr>
                <w:rFonts w:ascii="Times New Roman" w:hAnsi="Times New Roman" w:eastAsia="宋体" w:cs="Times New Roman"/>
                <w:b/>
                <w:spacing w:val="6"/>
                <w:sz w:val="24"/>
                <w:szCs w:val="24"/>
              </w:rPr>
            </w:pPr>
            <w:r>
              <w:rPr>
                <w:rFonts w:ascii="Times New Roman" w:hAnsi="Times New Roman" w:eastAsia="宋体" w:cs="Times New Roman"/>
                <w:b/>
                <w:spacing w:val="6"/>
                <w:sz w:val="24"/>
                <w:szCs w:val="24"/>
              </w:rPr>
              <w:t>一、项目基本情况：</w:t>
            </w:r>
          </w:p>
          <w:p>
            <w:pPr>
              <w:spacing w:line="360" w:lineRule="auto"/>
              <w:ind w:firstLine="480" w:firstLineChars="200"/>
              <w:jc w:val="left"/>
              <w:rPr>
                <w:rFonts w:hint="eastAsia" w:ascii="宋体" w:hAnsi="宋体" w:eastAsia="宋体" w:cs="宋体"/>
                <w:sz w:val="24"/>
                <w:szCs w:val="24"/>
                <w:lang w:val="en-US" w:eastAsia="zh-CN"/>
              </w:rPr>
            </w:pPr>
            <w:r>
              <w:rPr>
                <w:rFonts w:hint="eastAsia" w:ascii="Times New Roman" w:hAnsi="Times New Roman" w:eastAsia="宋体" w:cs="Times New Roman"/>
                <w:color w:val="000000"/>
                <w:sz w:val="24"/>
                <w:szCs w:val="24"/>
                <w:lang w:eastAsia="zh-CN"/>
              </w:rPr>
              <w:t>山东新中鲁中医医院有限公司</w:t>
            </w:r>
            <w:r>
              <w:rPr>
                <w:rFonts w:ascii="宋体" w:hAnsi="宋体" w:eastAsia="宋体" w:cs="宋体"/>
                <w:sz w:val="24"/>
                <w:szCs w:val="24"/>
              </w:rPr>
              <w:t>成立于</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 xml:space="preserve">2019 </w:t>
            </w:r>
            <w:r>
              <w:rPr>
                <w:rFonts w:ascii="宋体" w:hAnsi="宋体" w:eastAsia="宋体" w:cs="宋体"/>
                <w:sz w:val="24"/>
                <w:szCs w:val="24"/>
              </w:rPr>
              <w:t>年</w:t>
            </w:r>
            <w:r>
              <w:rPr>
                <w:rFonts w:ascii="宋体" w:hAnsi="宋体" w:eastAsia="宋体" w:cs="宋体"/>
                <w:spacing w:val="-60"/>
                <w:sz w:val="24"/>
                <w:szCs w:val="24"/>
              </w:rPr>
              <w:t xml:space="preserve"> </w:t>
            </w:r>
            <w:r>
              <w:rPr>
                <w:rFonts w:ascii="Times New Roman" w:hAnsi="Times New Roman" w:eastAsia="Times New Roman" w:cs="Times New Roman"/>
                <w:sz w:val="24"/>
                <w:szCs w:val="24"/>
              </w:rPr>
              <w:t>4</w:t>
            </w:r>
            <w:r>
              <w:rPr>
                <w:rFonts w:ascii="宋体" w:hAnsi="宋体" w:eastAsia="宋体" w:cs="宋体"/>
                <w:spacing w:val="-9"/>
                <w:sz w:val="24"/>
                <w:szCs w:val="24"/>
              </w:rPr>
              <w:t>月，注册地为山东省济南</w:t>
            </w:r>
            <w:r>
              <w:rPr>
                <w:rFonts w:ascii="宋体" w:hAnsi="宋体" w:eastAsia="宋体" w:cs="宋体"/>
                <w:sz w:val="24"/>
                <w:szCs w:val="24"/>
              </w:rPr>
              <w:t>市历下区山师东路</w:t>
            </w:r>
            <w:r>
              <w:rPr>
                <w:rFonts w:ascii="宋体" w:hAnsi="宋体" w:eastAsia="宋体" w:cs="宋体"/>
                <w:spacing w:val="-61"/>
                <w:sz w:val="24"/>
                <w:szCs w:val="24"/>
              </w:rPr>
              <w:t xml:space="preserve"> </w:t>
            </w:r>
            <w:r>
              <w:rPr>
                <w:rFonts w:ascii="Times New Roman" w:hAnsi="Times New Roman" w:eastAsia="Times New Roman" w:cs="Times New Roman"/>
                <w:sz w:val="24"/>
                <w:szCs w:val="24"/>
              </w:rPr>
              <w:t>28-4</w:t>
            </w:r>
            <w:r>
              <w:rPr>
                <w:rFonts w:ascii="Times New Roman" w:hAnsi="Times New Roman" w:eastAsia="Times New Roman" w:cs="Times New Roman"/>
                <w:spacing w:val="-1"/>
                <w:sz w:val="24"/>
                <w:szCs w:val="24"/>
              </w:rPr>
              <w:t xml:space="preserve"> </w:t>
            </w:r>
            <w:r>
              <w:rPr>
                <w:rFonts w:ascii="宋体" w:hAnsi="宋体" w:eastAsia="宋体" w:cs="宋体"/>
                <w:sz w:val="24"/>
                <w:szCs w:val="24"/>
              </w:rPr>
              <w:t>号，主要经营范围为医院诊疗服务；医院管理咨询</w:t>
            </w:r>
            <w:r>
              <w:rPr>
                <w:rFonts w:hint="eastAsia" w:ascii="宋体" w:hAnsi="宋体" w:eastAsia="宋体" w:cs="宋体"/>
                <w:sz w:val="24"/>
                <w:szCs w:val="24"/>
                <w:lang w:eastAsia="zh-CN"/>
              </w:rPr>
              <w:t>等。</w:t>
            </w:r>
            <w:r>
              <w:rPr>
                <w:rFonts w:ascii="宋体" w:hAnsi="宋体" w:eastAsia="宋体" w:cs="宋体"/>
                <w:sz w:val="24"/>
                <w:szCs w:val="24"/>
              </w:rPr>
              <w:t>根据公司发展战略，山东新中鲁中医医院有限公司拟投资</w:t>
            </w:r>
            <w:r>
              <w:rPr>
                <w:rFonts w:ascii="Times New Roman" w:hAnsi="Times New Roman" w:eastAsia="Times New Roman" w:cs="Times New Roman"/>
                <w:sz w:val="24"/>
                <w:szCs w:val="24"/>
              </w:rPr>
              <w:t>1000</w:t>
            </w:r>
            <w:r>
              <w:rPr>
                <w:rFonts w:ascii="宋体" w:hAnsi="宋体" w:eastAsia="宋体" w:cs="宋体"/>
                <w:spacing w:val="-12"/>
                <w:sz w:val="24"/>
                <w:szCs w:val="24"/>
              </w:rPr>
              <w:t>万元，租</w:t>
            </w:r>
            <w:r>
              <w:rPr>
                <w:rFonts w:ascii="宋体" w:hAnsi="宋体" w:eastAsia="宋体" w:cs="宋体"/>
                <w:sz w:val="24"/>
                <w:szCs w:val="24"/>
              </w:rPr>
              <w:t>赁山东省济南市历下区趵突泉街道趵突泉南路</w:t>
            </w:r>
            <w:r>
              <w:rPr>
                <w:rFonts w:ascii="Times New Roman" w:hAnsi="Times New Roman" w:eastAsia="Times New Roman" w:cs="Times New Roman"/>
                <w:sz w:val="24"/>
                <w:szCs w:val="24"/>
              </w:rPr>
              <w:t>6</w:t>
            </w:r>
            <w:r>
              <w:rPr>
                <w:rFonts w:ascii="宋体" w:hAnsi="宋体" w:eastAsia="宋体" w:cs="宋体"/>
                <w:sz w:val="24"/>
                <w:szCs w:val="24"/>
              </w:rPr>
              <w:t>号现有房屋</w:t>
            </w:r>
            <w:r>
              <w:rPr>
                <w:rFonts w:hint="default" w:ascii="Times New Roman" w:hAnsi="Times New Roman" w:cs="Times New Roman"/>
                <w:bCs/>
                <w:color w:val="000000"/>
                <w:sz w:val="24"/>
                <w:lang w:val="en-US" w:eastAsia="zh-CN"/>
              </w:rPr>
              <w:t>建设</w:t>
            </w:r>
            <w:r>
              <w:rPr>
                <w:rFonts w:hint="eastAsia" w:ascii="Times New Roman" w:hAnsi="Times New Roman" w:eastAsia="宋体" w:cs="Times New Roman"/>
                <w:color w:val="000000"/>
                <w:sz w:val="24"/>
                <w:szCs w:val="24"/>
                <w:highlight w:val="none"/>
                <w:lang w:eastAsia="zh-CN"/>
              </w:rPr>
              <w:t>山东新中鲁中医医院有限公司新建中医医院项目</w:t>
            </w:r>
            <w:r>
              <w:rPr>
                <w:rFonts w:hint="default" w:ascii="Times New Roman" w:hAnsi="Times New Roman" w:cs="Times New Roman"/>
                <w:bCs/>
                <w:color w:val="000000"/>
                <w:sz w:val="24"/>
                <w:lang w:eastAsia="zh-CN"/>
              </w:rPr>
              <w:t>，</w:t>
            </w:r>
            <w:r>
              <w:rPr>
                <w:rFonts w:hint="default" w:ascii="Times New Roman" w:hAnsi="Times New Roman" w:cs="Times New Roman"/>
                <w:bCs/>
                <w:color w:val="000000"/>
                <w:sz w:val="24"/>
              </w:rPr>
              <w:t>占地面积5000m</w:t>
            </w:r>
            <w:r>
              <w:rPr>
                <w:rFonts w:hint="default" w:ascii="Times New Roman" w:hAnsi="Times New Roman" w:cs="Times New Roman"/>
                <w:bCs/>
                <w:color w:val="000000"/>
                <w:sz w:val="24"/>
                <w:vertAlign w:val="superscript"/>
              </w:rPr>
              <w:t>2</w:t>
            </w:r>
            <w:r>
              <w:rPr>
                <w:rFonts w:hint="default" w:ascii="Times New Roman" w:hAnsi="Times New Roman" w:cs="Times New Roman"/>
                <w:bCs/>
                <w:color w:val="000000"/>
                <w:sz w:val="24"/>
              </w:rPr>
              <w:t>，总建筑面积为</w:t>
            </w:r>
            <w:r>
              <w:rPr>
                <w:rFonts w:hint="default" w:ascii="Times New Roman" w:hAnsi="Times New Roman" w:eastAsia="宋体" w:cs="Times New Roman"/>
                <w:bCs/>
                <w:color w:val="000000"/>
                <w:sz w:val="24"/>
                <w:highlight w:val="none"/>
              </w:rPr>
              <w:t>1100</w:t>
            </w:r>
            <w:r>
              <w:rPr>
                <w:rFonts w:hint="default" w:ascii="Times New Roman" w:hAnsi="Times New Roman" w:eastAsia="宋体" w:cs="Times New Roman"/>
                <w:bCs/>
                <w:color w:val="000000"/>
                <w:sz w:val="24"/>
                <w:highlight w:val="none"/>
                <w:lang w:val="en-US" w:eastAsia="zh-CN"/>
              </w:rPr>
              <w:t>6.735</w:t>
            </w:r>
            <w:r>
              <w:rPr>
                <w:rFonts w:hint="default" w:ascii="Times New Roman" w:hAnsi="Times New Roman" w:cs="Times New Roman"/>
                <w:bCs/>
                <w:color w:val="000000"/>
                <w:sz w:val="24"/>
              </w:rPr>
              <w:t>m</w:t>
            </w:r>
            <w:r>
              <w:rPr>
                <w:rFonts w:hint="default" w:ascii="Times New Roman" w:hAnsi="Times New Roman" w:cs="Times New Roman"/>
                <w:bCs/>
                <w:color w:val="000000"/>
                <w:sz w:val="24"/>
                <w:vertAlign w:val="superscript"/>
              </w:rPr>
              <w:t>2</w:t>
            </w:r>
            <w:r>
              <w:rPr>
                <w:rFonts w:hint="default" w:ascii="Times New Roman" w:hAnsi="Times New Roman" w:cs="Times New Roman"/>
                <w:bCs/>
                <w:color w:val="000000"/>
                <w:sz w:val="24"/>
              </w:rPr>
              <w:t>。</w:t>
            </w:r>
            <w:r>
              <w:rPr>
                <w:rFonts w:ascii="宋体" w:hAnsi="宋体" w:eastAsia="宋体" w:cs="宋体"/>
                <w:sz w:val="24"/>
                <w:szCs w:val="24"/>
              </w:rPr>
              <w:t>项目设置</w:t>
            </w:r>
            <w:r>
              <w:rPr>
                <w:rFonts w:ascii="Times New Roman" w:hAnsi="Times New Roman" w:eastAsia="Times New Roman" w:cs="Times New Roman"/>
                <w:sz w:val="24"/>
                <w:szCs w:val="24"/>
              </w:rPr>
              <w:t>27</w:t>
            </w:r>
            <w:r>
              <w:rPr>
                <w:rFonts w:ascii="宋体" w:hAnsi="宋体" w:eastAsia="宋体" w:cs="宋体"/>
                <w:sz w:val="24"/>
                <w:szCs w:val="24"/>
              </w:rPr>
              <w:t>张床位，劳动定员</w:t>
            </w:r>
            <w:r>
              <w:rPr>
                <w:rFonts w:ascii="Times New Roman" w:hAnsi="Times New Roman" w:eastAsia="Times New Roman" w:cs="Times New Roman"/>
                <w:sz w:val="24"/>
                <w:szCs w:val="24"/>
              </w:rPr>
              <w:t>45</w:t>
            </w:r>
            <w:r>
              <w:rPr>
                <w:rFonts w:ascii="宋体" w:hAnsi="宋体" w:eastAsia="宋体" w:cs="宋体"/>
                <w:sz w:val="24"/>
                <w:szCs w:val="24"/>
              </w:rPr>
              <w:t>人，其中医务人员（医生、护士等）</w:t>
            </w:r>
            <w:r>
              <w:rPr>
                <w:rFonts w:hint="eastAsia" w:ascii="宋体" w:hAnsi="宋体" w:eastAsia="宋体" w:cs="宋体"/>
                <w:sz w:val="24"/>
                <w:szCs w:val="24"/>
                <w:lang w:eastAsia="zh-CN"/>
              </w:rPr>
              <w:t>，门诊接诊量</w:t>
            </w:r>
            <w:r>
              <w:rPr>
                <w:rFonts w:hint="eastAsia" w:ascii="宋体" w:hAnsi="宋体" w:eastAsia="宋体" w:cs="宋体"/>
                <w:sz w:val="24"/>
                <w:szCs w:val="24"/>
                <w:lang w:val="en-US" w:eastAsia="zh-CN"/>
              </w:rPr>
              <w:t>100人次/天。</w:t>
            </w:r>
          </w:p>
          <w:p>
            <w:pPr>
              <w:spacing w:line="360" w:lineRule="auto"/>
              <w:rPr>
                <w:rFonts w:ascii="Times New Roman" w:hAnsi="Times New Roman" w:eastAsia="宋体" w:cs="Times New Roman"/>
                <w:b/>
                <w:spacing w:val="6"/>
                <w:sz w:val="24"/>
                <w:szCs w:val="24"/>
              </w:rPr>
            </w:pPr>
            <w:r>
              <w:rPr>
                <w:rFonts w:ascii="Times New Roman" w:hAnsi="Times New Roman" w:eastAsia="宋体" w:cs="Times New Roman"/>
                <w:b/>
                <w:spacing w:val="6"/>
                <w:sz w:val="24"/>
                <w:szCs w:val="24"/>
              </w:rPr>
              <w:t>二、废气监测结论：</w:t>
            </w:r>
          </w:p>
          <w:p>
            <w:pPr>
              <w:spacing w:line="360" w:lineRule="auto"/>
              <w:ind w:firstLine="492"/>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rPr>
              <w:t>项目运营过程中无废气产生及排放，主要产生来源为一体化污水处理站排放的少量恶臭气体。</w:t>
            </w:r>
            <w:r>
              <w:rPr>
                <w:rFonts w:hint="default" w:ascii="Times New Roman" w:hAnsi="Times New Roman" w:cs="Times New Roman"/>
                <w:sz w:val="24"/>
                <w:szCs w:val="24"/>
                <w:lang w:eastAsia="zh-CN"/>
              </w:rPr>
              <w:t>煎药</w:t>
            </w:r>
            <w:r>
              <w:rPr>
                <w:rFonts w:hint="eastAsia" w:ascii="Times New Roman" w:hAnsi="Times New Roman" w:cs="Times New Roman"/>
                <w:sz w:val="24"/>
                <w:szCs w:val="24"/>
                <w:lang w:eastAsia="zh-CN"/>
              </w:rPr>
              <w:t>过程中</w:t>
            </w:r>
            <w:r>
              <w:rPr>
                <w:rFonts w:hint="default" w:ascii="Times New Roman" w:hAnsi="Times New Roman" w:cs="Times New Roman"/>
                <w:sz w:val="24"/>
                <w:szCs w:val="24"/>
                <w:lang w:eastAsia="zh-CN"/>
              </w:rPr>
              <w:t>产生的</w:t>
            </w:r>
            <w:r>
              <w:rPr>
                <w:rFonts w:hint="eastAsia" w:ascii="Times New Roman" w:hAnsi="Times New Roman" w:cs="Times New Roman"/>
                <w:sz w:val="24"/>
                <w:szCs w:val="24"/>
                <w:lang w:eastAsia="zh-CN"/>
              </w:rPr>
              <w:t>恶臭气体。</w:t>
            </w:r>
          </w:p>
          <w:p>
            <w:pPr>
              <w:spacing w:line="360" w:lineRule="auto"/>
              <w:ind w:firstLine="492"/>
              <w:rPr>
                <w:rFonts w:hint="default" w:ascii="Times New Roman" w:hAnsi="Times New Roman" w:cs="Times New Roman"/>
                <w:sz w:val="24"/>
                <w:szCs w:val="24"/>
                <w:lang w:eastAsia="zh-CN"/>
              </w:rPr>
            </w:pPr>
            <w:r>
              <w:rPr>
                <w:rFonts w:hint="eastAsia" w:ascii="Times New Roman" w:hAnsi="Times New Roman" w:cs="Times New Roman"/>
                <w:sz w:val="24"/>
                <w:szCs w:val="24"/>
                <w:lang w:eastAsia="zh-CN"/>
              </w:rPr>
              <w:t>项目</w:t>
            </w:r>
            <w:r>
              <w:rPr>
                <w:rFonts w:hint="default" w:ascii="Times New Roman" w:hAnsi="Times New Roman" w:cs="Times New Roman"/>
                <w:sz w:val="24"/>
                <w:szCs w:val="24"/>
                <w:lang w:eastAsia="zh-CN"/>
              </w:rPr>
              <w:t>污水处理设施采用一体化密闭设施，在运行过程中投加除臭剂。验收期间污水处理设施下风向大气污染物</w:t>
            </w:r>
            <w:r>
              <w:rPr>
                <w:rFonts w:hint="default" w:ascii="Times New Roman" w:hAnsi="Times New Roman" w:cs="Times New Roman"/>
                <w:sz w:val="24"/>
                <w:szCs w:val="24"/>
              </w:rPr>
              <w:t>氨最大浓度为0.</w:t>
            </w:r>
            <w:r>
              <w:rPr>
                <w:rFonts w:hint="default" w:ascii="Times New Roman" w:hAnsi="Times New Roman" w:cs="Times New Roman"/>
                <w:sz w:val="24"/>
                <w:szCs w:val="24"/>
                <w:lang w:val="en-US" w:eastAsia="zh-CN"/>
              </w:rPr>
              <w:t>06</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；臭气浓度</w:t>
            </w:r>
            <w:r>
              <w:rPr>
                <w:rFonts w:hint="default" w:ascii="Times New Roman" w:hAnsi="Times New Roman" w:cs="Times New Roman"/>
                <w:sz w:val="24"/>
                <w:szCs w:val="24"/>
                <w:lang w:eastAsia="zh-CN"/>
              </w:rPr>
              <w:t>未检出</w:t>
            </w:r>
            <w:r>
              <w:rPr>
                <w:rFonts w:hint="default" w:ascii="Times New Roman" w:hAnsi="Times New Roman" w:cs="Times New Roman"/>
                <w:sz w:val="24"/>
                <w:szCs w:val="24"/>
              </w:rPr>
              <w:t>；</w:t>
            </w:r>
            <w:r>
              <w:rPr>
                <w:rFonts w:hint="default" w:ascii="Times New Roman" w:hAnsi="Times New Roman" w:cs="Times New Roman"/>
                <w:sz w:val="24"/>
                <w:szCs w:val="24"/>
                <w:lang w:eastAsia="zh-CN"/>
              </w:rPr>
              <w:t>硫化氢</w:t>
            </w:r>
            <w:r>
              <w:rPr>
                <w:rFonts w:hint="default" w:ascii="Times New Roman" w:hAnsi="Times New Roman" w:cs="Times New Roman"/>
                <w:sz w:val="24"/>
                <w:szCs w:val="24"/>
              </w:rPr>
              <w:t>最大浓度为</w:t>
            </w:r>
            <w:r>
              <w:rPr>
                <w:rFonts w:hint="default" w:ascii="Times New Roman" w:hAnsi="Times New Roman" w:cs="Times New Roman"/>
                <w:sz w:val="24"/>
                <w:szCs w:val="24"/>
                <w:lang w:val="en-US" w:eastAsia="zh-CN"/>
              </w:rPr>
              <w:t>0.014</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w:t>
            </w:r>
            <w:r>
              <w:rPr>
                <w:rFonts w:hint="default" w:ascii="Times New Roman" w:hAnsi="Times New Roman" w:cs="Times New Roman"/>
                <w:sz w:val="24"/>
                <w:szCs w:val="24"/>
                <w:lang w:eastAsia="zh-CN"/>
              </w:rPr>
              <w:t>最高允许浓度满足《山东省医疗机构污染物排放控制标准》(DB37/596-2020)表2要求。</w:t>
            </w:r>
          </w:p>
          <w:p>
            <w:pPr>
              <w:spacing w:line="360" w:lineRule="auto"/>
              <w:ind w:firstLine="492"/>
              <w:rPr>
                <w:rFonts w:hint="eastAsia" w:ascii="Times New Roman" w:hAnsi="Times New Roman" w:cs="Times New Roman"/>
                <w:sz w:val="24"/>
                <w:szCs w:val="24"/>
              </w:rPr>
            </w:pPr>
            <w:r>
              <w:rPr>
                <w:rFonts w:hint="default" w:ascii="Times New Roman" w:hAnsi="Times New Roman" w:cs="Times New Roman"/>
                <w:sz w:val="24"/>
                <w:szCs w:val="24"/>
                <w:lang w:eastAsia="zh-CN"/>
              </w:rPr>
              <w:t>煎药</w:t>
            </w:r>
            <w:r>
              <w:rPr>
                <w:rFonts w:hint="eastAsia" w:ascii="Times New Roman" w:hAnsi="Times New Roman" w:cs="Times New Roman"/>
                <w:sz w:val="24"/>
                <w:szCs w:val="24"/>
                <w:lang w:eastAsia="zh-CN"/>
              </w:rPr>
              <w:t>过程中</w:t>
            </w:r>
            <w:r>
              <w:rPr>
                <w:rFonts w:hint="default" w:ascii="Times New Roman" w:hAnsi="Times New Roman" w:cs="Times New Roman"/>
                <w:sz w:val="24"/>
                <w:szCs w:val="24"/>
                <w:lang w:eastAsia="zh-CN"/>
              </w:rPr>
              <w:t>产生的</w:t>
            </w:r>
            <w:r>
              <w:rPr>
                <w:rFonts w:hint="eastAsia" w:ascii="Times New Roman" w:hAnsi="Times New Roman" w:cs="Times New Roman"/>
                <w:sz w:val="24"/>
                <w:szCs w:val="24"/>
                <w:lang w:eastAsia="zh-CN"/>
              </w:rPr>
              <w:t>恶臭气体。</w:t>
            </w:r>
            <w:r>
              <w:rPr>
                <w:rFonts w:hint="default" w:ascii="Times New Roman" w:hAnsi="Times New Roman" w:cs="Times New Roman"/>
                <w:sz w:val="24"/>
                <w:szCs w:val="24"/>
                <w:lang w:eastAsia="zh-CN"/>
              </w:rPr>
              <w:t>验收期间厂界无组织废气臭气浓度未检出，满足</w:t>
            </w:r>
            <w:r>
              <w:rPr>
                <w:rFonts w:hint="default" w:ascii="Times New Roman" w:hAnsi="Times New Roman" w:cs="Times New Roman"/>
                <w:sz w:val="24"/>
                <w:szCs w:val="24"/>
                <w:lang w:val="en-US" w:eastAsia="zh-CN"/>
              </w:rPr>
              <w:t>《恶臭污染物排放标准》（GB14554-93）表1标准限值</w:t>
            </w:r>
          </w:p>
          <w:p>
            <w:pPr>
              <w:pStyle w:val="2"/>
              <w:spacing w:line="360" w:lineRule="auto"/>
              <w:rPr>
                <w:b/>
              </w:rPr>
            </w:pPr>
            <w:r>
              <w:rPr>
                <w:rFonts w:hint="eastAsia"/>
                <w:b/>
                <w:lang w:eastAsia="zh-CN"/>
              </w:rPr>
              <w:t>三</w:t>
            </w:r>
            <w:r>
              <w:rPr>
                <w:b/>
              </w:rPr>
              <w:t>、废水</w:t>
            </w:r>
            <w:r>
              <w:rPr>
                <w:rFonts w:hint="eastAsia"/>
                <w:b/>
              </w:rPr>
              <w:t>监测</w:t>
            </w:r>
            <w:r>
              <w:rPr>
                <w:b/>
              </w:rPr>
              <w:t>结论：</w:t>
            </w:r>
          </w:p>
          <w:p>
            <w:pPr>
              <w:spacing w:line="360" w:lineRule="auto"/>
              <w:ind w:firstLine="480" w:firstLineChars="200"/>
              <w:jc w:val="both"/>
              <w:rPr>
                <w:rFonts w:hint="default" w:ascii="Times New Roman" w:hAnsi="Times New Roman" w:cs="Times New Roman"/>
                <w:spacing w:val="6"/>
                <w:sz w:val="24"/>
                <w:szCs w:val="24"/>
              </w:rPr>
            </w:pPr>
            <w:r>
              <w:rPr>
                <w:rFonts w:hint="default" w:ascii="Times New Roman" w:hAnsi="Times New Roman" w:eastAsia="宋体" w:cs="Times New Roman"/>
                <w:color w:val="000000"/>
                <w:sz w:val="24"/>
                <w:szCs w:val="24"/>
                <w:lang w:eastAsia="zh-CN"/>
              </w:rPr>
              <w:t>营运期的废水主要为生活污水、医疗废水(门诊废水、病房废水、化验废水、手术废水)、煎药罐清洗废水、地面保洁废水</w:t>
            </w:r>
            <w:r>
              <w:rPr>
                <w:rFonts w:hint="default" w:ascii="Times New Roman" w:hAnsi="Times New Roman" w:cs="Times New Roman"/>
                <w:spacing w:val="6"/>
                <w:sz w:val="24"/>
                <w:szCs w:val="24"/>
              </w:rPr>
              <w:t>，废水经污水处理站处理达标后，排入市政污水管网，进入光大水务（济南）有限公司一厂进行处理，处理达标后最终排入小清河。</w:t>
            </w:r>
          </w:p>
          <w:p>
            <w:pPr>
              <w:spacing w:line="360" w:lineRule="auto"/>
              <w:ind w:firstLine="480" w:firstLineChars="200"/>
              <w:jc w:val="both"/>
              <w:rPr>
                <w:rFonts w:hint="default" w:ascii="Times New Roman" w:hAnsi="Times New Roman" w:cs="Times New Roman"/>
                <w:sz w:val="24"/>
                <w:szCs w:val="24"/>
              </w:rPr>
            </w:pPr>
            <w:r>
              <w:rPr>
                <w:rFonts w:ascii="Times New Roman" w:hAnsi="Times New Roman" w:cs="Times New Roman"/>
                <w:sz w:val="24"/>
                <w:szCs w:val="24"/>
              </w:rPr>
              <w:t>验收监测期间，</w:t>
            </w:r>
            <w:r>
              <w:rPr>
                <w:rFonts w:hint="eastAsia" w:ascii="Times New Roman" w:hAnsi="Times New Roman" w:cs="Times New Roman"/>
                <w:sz w:val="24"/>
                <w:szCs w:val="24"/>
              </w:rPr>
              <w:t>废水排放口pH</w:t>
            </w:r>
            <w:r>
              <w:rPr>
                <w:rFonts w:hint="eastAsia" w:ascii="Times New Roman" w:hAnsi="Times New Roman" w:cs="Times New Roman"/>
                <w:sz w:val="24"/>
                <w:szCs w:val="24"/>
                <w:lang w:eastAsia="zh-CN"/>
              </w:rPr>
              <w:t>为</w:t>
            </w:r>
            <w:r>
              <w:rPr>
                <w:rFonts w:hint="eastAsia" w:ascii="Times New Roman" w:hAnsi="Times New Roman" w:cs="Times New Roman"/>
                <w:color w:val="0000FF"/>
                <w:sz w:val="24"/>
                <w:szCs w:val="24"/>
                <w:lang w:val="en-US" w:eastAsia="zh-CN"/>
              </w:rPr>
              <w:t>7.2~7.4</w:t>
            </w:r>
            <w:r>
              <w:rPr>
                <w:rFonts w:hint="eastAsia" w:ascii="Times New Roman" w:hAnsi="Times New Roman" w:cs="Times New Roman"/>
                <w:color w:val="0000FF"/>
                <w:sz w:val="24"/>
                <w:szCs w:val="24"/>
              </w:rPr>
              <w:t>（无量纲）</w:t>
            </w:r>
            <w:r>
              <w:rPr>
                <w:rFonts w:hint="eastAsia" w:ascii="Times New Roman" w:hAnsi="Times New Roman" w:cs="Times New Roman"/>
                <w:sz w:val="24"/>
                <w:szCs w:val="24"/>
                <w:lang w:val="en-US" w:eastAsia="zh-CN"/>
              </w:rPr>
              <w:t>，</w:t>
            </w:r>
            <w:r>
              <w:rPr>
                <w:rFonts w:hint="eastAsia" w:ascii="Times New Roman" w:hAnsi="Times New Roman" w:cs="Times New Roman"/>
                <w:color w:val="0000FF"/>
                <w:sz w:val="24"/>
                <w:szCs w:val="24"/>
              </w:rPr>
              <w:t>粪大肠菌群</w:t>
            </w:r>
            <w:r>
              <w:rPr>
                <w:rFonts w:hint="eastAsia" w:ascii="Times New Roman" w:hAnsi="Times New Roman" w:cs="Times New Roman"/>
                <w:color w:val="0000FF"/>
                <w:sz w:val="24"/>
                <w:szCs w:val="24"/>
                <w:lang w:eastAsia="zh-CN"/>
              </w:rPr>
              <w:t>为</w:t>
            </w:r>
            <w:r>
              <w:rPr>
                <w:rFonts w:hint="eastAsia" w:ascii="Times New Roman" w:hAnsi="Times New Roman" w:cs="Times New Roman"/>
                <w:sz w:val="24"/>
                <w:szCs w:val="24"/>
                <w:lang w:val="en-US" w:eastAsia="zh-CN"/>
              </w:rPr>
              <w:t>110~</w:t>
            </w:r>
            <w:r>
              <w:rPr>
                <w:rFonts w:hint="eastAsia"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3</w:t>
            </w:r>
            <w:r>
              <w:rPr>
                <w:rFonts w:hint="eastAsia" w:ascii="Times New Roman" w:hAnsi="Times New Roman" w:cs="Times New Roman"/>
                <w:color w:val="0000FF"/>
                <w:sz w:val="24"/>
                <w:szCs w:val="24"/>
              </w:rPr>
              <w:t>0MPN</w:t>
            </w:r>
            <w:r>
              <w:rPr>
                <w:rFonts w:ascii="Times New Roman" w:hAnsi="Times New Roman" w:cs="Times New Roman"/>
                <w:color w:val="0000FF"/>
                <w:sz w:val="24"/>
                <w:szCs w:val="24"/>
              </w:rPr>
              <w:t>/L</w:t>
            </w:r>
            <w:r>
              <w:rPr>
                <w:rFonts w:hint="eastAsia" w:ascii="Times New Roman" w:hAnsi="Times New Roman" w:cs="Times New Roman"/>
                <w:color w:val="0000FF"/>
                <w:sz w:val="24"/>
                <w:szCs w:val="24"/>
                <w:lang w:eastAsia="zh-CN"/>
              </w:rPr>
              <w:t>，</w:t>
            </w:r>
            <w:r>
              <w:rPr>
                <w:rFonts w:hint="eastAsia" w:ascii="Times New Roman" w:hAnsi="Times New Roman" w:cs="Times New Roman"/>
                <w:sz w:val="24"/>
                <w:szCs w:val="24"/>
              </w:rPr>
              <w:t>化学需氧量、氨氮、悬浮物、</w:t>
            </w:r>
            <w:r>
              <w:rPr>
                <w:rFonts w:hint="eastAsia" w:ascii="Times New Roman" w:hAnsi="Times New Roman" w:cs="Times New Roman"/>
                <w:sz w:val="24"/>
                <w:szCs w:val="24"/>
                <w:lang w:val="en-US" w:eastAsia="zh-CN"/>
              </w:rPr>
              <w:t>BOD</w:t>
            </w:r>
            <w:r>
              <w:rPr>
                <w:rFonts w:hint="eastAsia" w:ascii="Times New Roman" w:hAnsi="Times New Roman" w:cs="Times New Roman"/>
                <w:sz w:val="24"/>
                <w:szCs w:val="24"/>
                <w:vertAlign w:val="subscript"/>
                <w:lang w:val="en-US" w:eastAsia="zh-CN"/>
              </w:rPr>
              <w:t>5</w:t>
            </w:r>
            <w:r>
              <w:rPr>
                <w:rFonts w:hint="eastAsia" w:ascii="Times New Roman" w:hAnsi="Times New Roman" w:cs="Times New Roman"/>
                <w:sz w:val="24"/>
                <w:szCs w:val="24"/>
              </w:rPr>
              <w:t>、总余氯的</w:t>
            </w:r>
            <w:r>
              <w:rPr>
                <w:rFonts w:hint="eastAsia" w:ascii="Times New Roman" w:hAnsi="Times New Roman" w:cs="Times New Roman"/>
                <w:color w:val="0000FF"/>
                <w:sz w:val="24"/>
                <w:szCs w:val="24"/>
                <w:lang w:eastAsia="zh-CN"/>
              </w:rPr>
              <w:t>日均</w:t>
            </w:r>
            <w:r>
              <w:rPr>
                <w:rFonts w:hint="eastAsia" w:ascii="Times New Roman" w:hAnsi="Times New Roman" w:cs="Times New Roman"/>
                <w:color w:val="0000FF"/>
                <w:sz w:val="24"/>
                <w:szCs w:val="24"/>
              </w:rPr>
              <w:t>最大排放浓度分别为</w:t>
            </w:r>
            <w:r>
              <w:rPr>
                <w:rFonts w:hint="eastAsia" w:ascii="Times New Roman" w:hAnsi="Times New Roman" w:cs="Times New Roman"/>
                <w:color w:val="0000FF"/>
                <w:sz w:val="24"/>
                <w:szCs w:val="24"/>
                <w:lang w:val="en-US" w:eastAsia="zh-CN"/>
              </w:rPr>
              <w:t>72</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、1.</w:t>
            </w:r>
            <w:r>
              <w:rPr>
                <w:rFonts w:hint="eastAsia" w:ascii="Times New Roman" w:hAnsi="Times New Roman" w:cs="Times New Roman"/>
                <w:color w:val="0000FF"/>
                <w:sz w:val="24"/>
                <w:szCs w:val="24"/>
                <w:lang w:val="en-US" w:eastAsia="zh-CN"/>
              </w:rPr>
              <w:t>52</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24</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w:t>
            </w:r>
            <w:r>
              <w:rPr>
                <w:rFonts w:hint="eastAsia" w:ascii="Times New Roman" w:hAnsi="Times New Roman" w:cs="Times New Roman"/>
                <w:color w:val="0000FF"/>
                <w:sz w:val="24"/>
                <w:szCs w:val="24"/>
                <w:lang w:val="en-US" w:eastAsia="zh-CN"/>
              </w:rPr>
              <w:t>22.0</w:t>
            </w:r>
            <w:r>
              <w:rPr>
                <w:rFonts w:ascii="Times New Roman" w:hAnsi="Times New Roman" w:cs="Times New Roman"/>
                <w:color w:val="0000FF"/>
                <w:sz w:val="24"/>
                <w:szCs w:val="24"/>
              </w:rPr>
              <w:t>mg/L</w:t>
            </w:r>
            <w:r>
              <w:rPr>
                <w:rFonts w:hint="eastAsia" w:ascii="Times New Roman" w:hAnsi="Times New Roman" w:cs="Times New Roman"/>
                <w:color w:val="0000FF"/>
                <w:sz w:val="24"/>
                <w:szCs w:val="24"/>
                <w:lang w:eastAsia="zh-CN"/>
              </w:rPr>
              <w:t>、</w:t>
            </w:r>
            <w:r>
              <w:rPr>
                <w:rFonts w:hint="eastAsia" w:ascii="Times New Roman" w:hAnsi="Times New Roman" w:cs="Times New Roman"/>
                <w:color w:val="0000FF"/>
                <w:sz w:val="24"/>
                <w:szCs w:val="24"/>
              </w:rPr>
              <w:t>3.</w:t>
            </w:r>
            <w:r>
              <w:rPr>
                <w:rFonts w:hint="eastAsia" w:ascii="Times New Roman" w:hAnsi="Times New Roman" w:cs="Times New Roman"/>
                <w:color w:val="0000FF"/>
                <w:sz w:val="24"/>
                <w:szCs w:val="24"/>
                <w:lang w:val="en-US" w:eastAsia="zh-CN"/>
              </w:rPr>
              <w:t>45</w:t>
            </w:r>
            <w:r>
              <w:rPr>
                <w:rFonts w:ascii="Times New Roman" w:hAnsi="Times New Roman" w:cs="Times New Roman"/>
                <w:color w:val="0000FF"/>
                <w:sz w:val="24"/>
                <w:szCs w:val="24"/>
              </w:rPr>
              <w:t>mg/L</w:t>
            </w:r>
            <w:r>
              <w:rPr>
                <w:rFonts w:hint="eastAsia" w:ascii="Times New Roman" w:hAnsi="Times New Roman" w:cs="Times New Roman"/>
                <w:color w:val="0000FF"/>
                <w:sz w:val="24"/>
                <w:szCs w:val="24"/>
              </w:rPr>
              <w:t>，</w:t>
            </w:r>
            <w:r>
              <w:rPr>
                <w:rFonts w:hint="eastAsia" w:ascii="Times New Roman" w:hAnsi="Times New Roman" w:cs="Times New Roman"/>
                <w:color w:val="0000FF"/>
                <w:sz w:val="24"/>
                <w:szCs w:val="24"/>
                <w:lang w:eastAsia="zh-CN"/>
              </w:rPr>
              <w:t>均</w:t>
            </w:r>
            <w:r>
              <w:rPr>
                <w:rFonts w:hint="eastAsia" w:ascii="Times New Roman" w:hAnsi="Times New Roman" w:eastAsia="宋体" w:cs="Times New Roman"/>
                <w:color w:val="0000FF"/>
                <w:sz w:val="24"/>
                <w:szCs w:val="24"/>
              </w:rPr>
              <w:t>满</w:t>
            </w:r>
            <w:r>
              <w:rPr>
                <w:rFonts w:hint="eastAsia" w:ascii="Times New Roman" w:hAnsi="Times New Roman" w:eastAsia="宋体" w:cs="Times New Roman"/>
                <w:sz w:val="24"/>
                <w:szCs w:val="24"/>
              </w:rPr>
              <w:t>足</w:t>
            </w:r>
            <w:r>
              <w:rPr>
                <w:rFonts w:hint="eastAsia" w:ascii="Times New Roman" w:hAnsi="Times New Roman" w:cs="Times New Roman"/>
                <w:sz w:val="24"/>
                <w:szCs w:val="24"/>
              </w:rPr>
              <w:t>《山东省医疗机构污染物排放控制标准》（DB37/596-2020）表1中二级标准、《污水排入城镇下水道水质标准》（GB/T31962-2015）A等级标准及光大水务（济南）有限公司一厂进水水质要求。</w:t>
            </w:r>
          </w:p>
          <w:p>
            <w:pPr>
              <w:pStyle w:val="2"/>
              <w:spacing w:line="360" w:lineRule="auto"/>
              <w:rPr>
                <w:b/>
              </w:rPr>
            </w:pPr>
            <w:r>
              <w:rPr>
                <w:rFonts w:hint="eastAsia"/>
                <w:b/>
                <w:lang w:eastAsia="zh-CN"/>
              </w:rPr>
              <w:t>四</w:t>
            </w:r>
            <w:r>
              <w:rPr>
                <w:b/>
              </w:rPr>
              <w:t>、噪声监测结论：</w:t>
            </w:r>
          </w:p>
          <w:p>
            <w:pPr>
              <w:spacing w:line="360" w:lineRule="auto"/>
              <w:ind w:firstLine="492"/>
              <w:rPr>
                <w:rFonts w:ascii="Times New Roman" w:hAnsi="Times New Roman" w:cs="Times New Roman"/>
                <w:sz w:val="24"/>
                <w:szCs w:val="24"/>
              </w:rPr>
            </w:pPr>
            <w:r>
              <w:rPr>
                <w:rFonts w:hint="eastAsia" w:ascii="Times New Roman" w:hAnsi="Times New Roman" w:cs="Times New Roman"/>
                <w:sz w:val="24"/>
                <w:szCs w:val="24"/>
                <w:lang w:eastAsia="zh-CN"/>
              </w:rPr>
              <w:t>项目</w:t>
            </w:r>
            <w:r>
              <w:rPr>
                <w:rFonts w:hint="eastAsia" w:ascii="Times New Roman" w:hAnsi="Times New Roman" w:cs="Times New Roman"/>
                <w:sz w:val="24"/>
                <w:szCs w:val="24"/>
              </w:rPr>
              <w:t>主要噪声源为仪器设备、风机等设备运行时产生的噪声。通过墙体隔声、消声、距离衰减、加强管理等措施，减轻设备运转噪声对周围环境的影响。</w:t>
            </w:r>
          </w:p>
          <w:p>
            <w:pPr>
              <w:spacing w:line="360" w:lineRule="auto"/>
              <w:ind w:firstLine="492"/>
              <w:rPr>
                <w:rFonts w:hint="eastAsia" w:ascii="Times New Roman" w:hAnsi="Times New Roman" w:eastAsia="宋体" w:cs="Times New Roman"/>
                <w:sz w:val="24"/>
                <w:szCs w:val="24"/>
              </w:rPr>
            </w:pPr>
            <w:r>
              <w:rPr>
                <w:rFonts w:ascii="Times New Roman" w:hAnsi="Times New Roman" w:eastAsia="宋体" w:cs="Times New Roman"/>
                <w:sz w:val="24"/>
                <w:szCs w:val="24"/>
              </w:rPr>
              <w:t>验收监测期间，东、南</w:t>
            </w:r>
            <w:r>
              <w:rPr>
                <w:rFonts w:hint="eastAsia" w:ascii="Times New Roman" w:hAnsi="Times New Roman" w:eastAsia="宋体" w:cs="Times New Roman"/>
                <w:sz w:val="24"/>
                <w:szCs w:val="24"/>
              </w:rPr>
              <w:t>、</w:t>
            </w:r>
            <w:r>
              <w:rPr>
                <w:rFonts w:ascii="Times New Roman" w:hAnsi="Times New Roman" w:eastAsia="宋体" w:cs="Times New Roman"/>
                <w:sz w:val="24"/>
                <w:szCs w:val="24"/>
              </w:rPr>
              <w:t>西、北厂界昼间噪声值范围在</w:t>
            </w:r>
            <w:r>
              <w:rPr>
                <w:rFonts w:hint="eastAsia" w:ascii="Times New Roman" w:hAnsi="Times New Roman" w:eastAsia="宋体" w:cs="Times New Roman"/>
                <w:sz w:val="24"/>
                <w:szCs w:val="24"/>
              </w:rPr>
              <w:t>50.</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4.1</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，夜</w:t>
            </w:r>
            <w:r>
              <w:rPr>
                <w:rFonts w:ascii="Times New Roman" w:hAnsi="Times New Roman" w:eastAsia="宋体" w:cs="Times New Roman"/>
                <w:sz w:val="24"/>
                <w:szCs w:val="24"/>
              </w:rPr>
              <w:t>间噪声值范围在</w:t>
            </w:r>
            <w:r>
              <w:rPr>
                <w:rFonts w:hint="eastAsia" w:ascii="Times New Roman" w:hAnsi="Times New Roman" w:eastAsia="宋体" w:cs="Times New Roman"/>
                <w:sz w:val="24"/>
                <w:szCs w:val="24"/>
              </w:rPr>
              <w:t>40.</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44</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w:t>
            </w:r>
            <w:r>
              <w:rPr>
                <w:rFonts w:ascii="Times New Roman" w:hAnsi="Times New Roman" w:eastAsia="宋体" w:cs="Times New Roman"/>
                <w:sz w:val="24"/>
                <w:szCs w:val="24"/>
              </w:rPr>
              <w:t>能够满足《工业企业厂界环境噪声排放标准》（GB12348-2008）</w:t>
            </w:r>
            <w:r>
              <w:rPr>
                <w:rFonts w:hint="eastAsia" w:ascii="Times New Roman" w:hAnsi="Times New Roman" w:eastAsia="宋体" w:cs="Times New Roman"/>
                <w:sz w:val="24"/>
                <w:szCs w:val="24"/>
              </w:rPr>
              <w:t>表1类标准。</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验收监测期间，</w:t>
            </w:r>
            <w:r>
              <w:rPr>
                <w:rFonts w:hint="eastAsia" w:ascii="Times New Roman" w:hAnsi="Times New Roman" w:eastAsia="宋体" w:cs="Times New Roman"/>
                <w:sz w:val="24"/>
                <w:szCs w:val="24"/>
                <w:lang w:eastAsia="zh-CN"/>
              </w:rPr>
              <w:t>南关清真寺、</w:t>
            </w:r>
            <w:r>
              <w:rPr>
                <w:rFonts w:hint="eastAsia" w:ascii="Times New Roman" w:hAnsi="Times New Roman" w:eastAsia="宋体" w:cs="Times New Roman"/>
                <w:sz w:val="24"/>
                <w:szCs w:val="24"/>
                <w:lang w:val="en-US" w:eastAsia="zh-CN"/>
              </w:rPr>
              <w:t>杉槁园街小区、南券门巷小区、济南历下社区学院</w:t>
            </w:r>
            <w:r>
              <w:rPr>
                <w:rFonts w:ascii="Times New Roman" w:hAnsi="Times New Roman" w:eastAsia="宋体" w:cs="Times New Roman"/>
                <w:sz w:val="24"/>
                <w:szCs w:val="24"/>
              </w:rPr>
              <w:t>昼间噪声值范围在</w:t>
            </w:r>
            <w:r>
              <w:rPr>
                <w:rFonts w:hint="eastAsia" w:ascii="Times New Roman" w:hAnsi="Times New Roman" w:eastAsia="宋体" w:cs="Times New Roman"/>
                <w:sz w:val="24"/>
                <w:szCs w:val="24"/>
              </w:rPr>
              <w:t>50</w:t>
            </w: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~5</w:t>
            </w:r>
            <w:r>
              <w:rPr>
                <w:rFonts w:hint="eastAsia" w:ascii="Times New Roman" w:hAnsi="Times New Roman" w:eastAsia="宋体" w:cs="Times New Roman"/>
                <w:sz w:val="24"/>
                <w:szCs w:val="24"/>
                <w:lang w:val="en-US" w:eastAsia="zh-CN"/>
              </w:rPr>
              <w:t>2.8</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，夜</w:t>
            </w:r>
            <w:r>
              <w:rPr>
                <w:rFonts w:ascii="Times New Roman" w:hAnsi="Times New Roman" w:eastAsia="宋体" w:cs="Times New Roman"/>
                <w:sz w:val="24"/>
                <w:szCs w:val="24"/>
              </w:rPr>
              <w:t>间噪声值范围在</w:t>
            </w:r>
            <w:r>
              <w:rPr>
                <w:rFonts w:hint="eastAsia" w:ascii="Times New Roman" w:hAnsi="Times New Roman" w:eastAsia="宋体" w:cs="Times New Roman"/>
                <w:sz w:val="24"/>
                <w:szCs w:val="24"/>
                <w:lang w:val="en-US" w:eastAsia="zh-CN"/>
              </w:rPr>
              <w:t>39.7</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42.4</w:t>
            </w:r>
            <w:r>
              <w:rPr>
                <w:rFonts w:ascii="Times New Roman" w:hAnsi="Times New Roman" w:cs="Times New Roman"/>
                <w:sz w:val="24"/>
                <w:szCs w:val="24"/>
              </w:rPr>
              <w:t>dB（A）</w:t>
            </w:r>
            <w:r>
              <w:rPr>
                <w:rFonts w:ascii="Times New Roman" w:hAnsi="Times New Roman" w:eastAsia="宋体" w:cs="Times New Roman"/>
                <w:sz w:val="24"/>
                <w:szCs w:val="24"/>
              </w:rPr>
              <w:t>之间</w:t>
            </w:r>
            <w:r>
              <w:rPr>
                <w:rFonts w:hint="eastAsia" w:ascii="Times New Roman" w:hAnsi="Times New Roman" w:eastAsia="宋体" w:cs="Times New Roman"/>
                <w:sz w:val="24"/>
                <w:szCs w:val="24"/>
              </w:rPr>
              <w:t>，</w:t>
            </w:r>
            <w:r>
              <w:rPr>
                <w:rFonts w:ascii="Times New Roman" w:hAnsi="Times New Roman" w:eastAsia="宋体" w:cs="Times New Roman"/>
                <w:sz w:val="24"/>
                <w:szCs w:val="24"/>
              </w:rPr>
              <w:t>能够满足</w:t>
            </w:r>
            <w:r>
              <w:rPr>
                <w:rFonts w:hint="eastAsia" w:ascii="Times New Roman" w:hAnsi="Times New Roman" w:eastAsia="宋体" w:cs="Times New Roman"/>
                <w:sz w:val="24"/>
                <w:szCs w:val="24"/>
                <w:highlight w:val="none"/>
                <w:lang w:eastAsia="zh-CN"/>
              </w:rPr>
              <w:t>《声环境质量标准》（GB</w:t>
            </w:r>
            <w:r>
              <w:rPr>
                <w:rFonts w:hint="eastAsia" w:ascii="Times New Roman" w:hAnsi="Times New Roman" w:eastAsia="宋体" w:cs="Times New Roman"/>
                <w:sz w:val="24"/>
                <w:szCs w:val="24"/>
                <w:highlight w:val="none"/>
                <w:lang w:val="en-US" w:eastAsia="zh-CN"/>
              </w:rPr>
              <w:t>3096</w:t>
            </w:r>
            <w:r>
              <w:rPr>
                <w:rFonts w:hint="eastAsia" w:ascii="Times New Roman" w:hAnsi="Times New Roman" w:eastAsia="宋体" w:cs="Times New Roman"/>
                <w:sz w:val="24"/>
                <w:szCs w:val="24"/>
                <w:highlight w:val="none"/>
                <w:lang w:eastAsia="zh-CN"/>
              </w:rPr>
              <w:t>-2008）</w:t>
            </w:r>
            <w:r>
              <w:rPr>
                <w:rFonts w:hint="eastAsia" w:ascii="Times New Roman" w:hAnsi="Times New Roman" w:eastAsia="宋体" w:cs="Times New Roman"/>
                <w:sz w:val="24"/>
                <w:szCs w:val="24"/>
              </w:rPr>
              <w:t>表1类标准。</w:t>
            </w:r>
          </w:p>
          <w:p>
            <w:pPr>
              <w:pStyle w:val="2"/>
              <w:spacing w:line="360" w:lineRule="auto"/>
              <w:rPr>
                <w:b/>
              </w:rPr>
            </w:pPr>
            <w:r>
              <w:rPr>
                <w:b/>
              </w:rPr>
              <w:t>五、固体废物调查结论：</w:t>
            </w:r>
          </w:p>
          <w:p>
            <w:pPr>
              <w:numPr>
                <w:ilvl w:val="0"/>
                <w:numId w:val="0"/>
              </w:numPr>
              <w:spacing w:line="360" w:lineRule="auto"/>
              <w:ind w:firstLine="480" w:firstLineChars="200"/>
              <w:jc w:val="both"/>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运营期的固体废物包括一般固体废物、危险废物及生活垃圾。一般固体废物包括未被污染的包装材料、塑料(玻璃)输液瓶(袋)等外售综合利用，药渣由环卫部门定期清运。危险废物主要包括医疗废物、废紫外灯管、化粪池污泥、污水处理栅渣及污泥。危险废物的收集、贮存等须满足《危险废物贮存污染控制标准》(GB18597-2001)及2013年修改单和《山东省医疗机构污染物排放控制标准》(D37/596-2020)的要求。</w:t>
            </w:r>
            <w:r>
              <w:rPr>
                <w:rFonts w:hint="default" w:ascii="Times New Roman" w:hAnsi="Times New Roman" w:eastAsia="宋体" w:cs="Times New Roman"/>
                <w:color w:val="000000"/>
                <w:sz w:val="24"/>
                <w:szCs w:val="24"/>
                <w:highlight w:val="none"/>
                <w:lang w:eastAsia="zh-CN"/>
              </w:rPr>
              <w:t>危险废物按规定委托有资质的单位（医疗废物委托济南腾笙环保科技有限公司，栅渣</w:t>
            </w:r>
            <w:r>
              <w:rPr>
                <w:rFonts w:hint="eastAsia" w:ascii="Times New Roman" w:hAnsi="Times New Roman" w:eastAsia="宋体" w:cs="Times New Roman"/>
                <w:color w:val="000000"/>
                <w:sz w:val="24"/>
                <w:szCs w:val="24"/>
                <w:highlight w:val="none"/>
                <w:lang w:eastAsia="zh-CN"/>
              </w:rPr>
              <w:t>、</w:t>
            </w:r>
            <w:r>
              <w:rPr>
                <w:rFonts w:hint="default" w:ascii="Times New Roman" w:hAnsi="Times New Roman" w:eastAsia="宋体" w:cs="Times New Roman"/>
                <w:color w:val="000000"/>
                <w:sz w:val="24"/>
                <w:szCs w:val="24"/>
                <w:highlight w:val="none"/>
                <w:lang w:eastAsia="zh-CN"/>
              </w:rPr>
              <w:t>污泥、废灯管等委托山东中再生环境科技有限公司）进行处理处置，并严格执行转移</w:t>
            </w:r>
            <w:r>
              <w:rPr>
                <w:rFonts w:hint="default" w:ascii="Times New Roman" w:hAnsi="Times New Roman" w:eastAsia="宋体" w:cs="Times New Roman"/>
                <w:color w:val="000000"/>
                <w:sz w:val="24"/>
                <w:szCs w:val="24"/>
                <w:lang w:eastAsia="zh-CN"/>
              </w:rPr>
              <w:t>联单等管理制度。一般固体废物收集后外售。生活垃圾、药渣委托城市管理部门收集处置。</w:t>
            </w:r>
          </w:p>
          <w:p>
            <w:pPr>
              <w:numPr>
                <w:ilvl w:val="0"/>
                <w:numId w:val="5"/>
              </w:numPr>
              <w:spacing w:line="360" w:lineRule="auto"/>
              <w:rPr>
                <w:rFonts w:ascii="Times New Roman" w:hAnsi="Times New Roman" w:cs="Times New Roman"/>
                <w:b/>
                <w:spacing w:val="6"/>
                <w:sz w:val="24"/>
                <w:szCs w:val="24"/>
              </w:rPr>
            </w:pPr>
            <w:r>
              <w:rPr>
                <w:rFonts w:hint="eastAsia" w:ascii="Times New Roman" w:hAnsi="Times New Roman" w:cs="Times New Roman"/>
                <w:b/>
                <w:spacing w:val="6"/>
                <w:sz w:val="24"/>
                <w:szCs w:val="24"/>
              </w:rPr>
              <w:t>总结论：</w:t>
            </w:r>
          </w:p>
          <w:p>
            <w:pPr>
              <w:spacing w:line="360" w:lineRule="auto"/>
              <w:ind w:firstLine="492"/>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山东新中鲁中医医院有限公司新建中医医院项目</w:t>
            </w:r>
            <w:r>
              <w:rPr>
                <w:rFonts w:hint="eastAsia" w:ascii="Times New Roman" w:hAnsi="Times New Roman" w:eastAsia="宋体" w:cs="Times New Roman"/>
                <w:sz w:val="24"/>
                <w:szCs w:val="24"/>
              </w:rPr>
              <w:t>基本落实了环评批复中的各项环保要求，环保设施齐全且正常运行，污染物均达标排放。满足竣工环境保护验收条件。</w:t>
            </w:r>
          </w:p>
          <w:p>
            <w:pPr>
              <w:spacing w:line="360" w:lineRule="auto"/>
              <w:rPr>
                <w:rFonts w:ascii="Times New Roman" w:hAnsi="Times New Roman" w:cs="Times New Roman"/>
                <w:b/>
                <w:spacing w:val="6"/>
                <w:sz w:val="24"/>
                <w:szCs w:val="24"/>
              </w:rPr>
            </w:pPr>
            <w:r>
              <w:rPr>
                <w:rFonts w:hint="eastAsia" w:ascii="Times New Roman" w:hAnsi="Times New Roman" w:cs="Times New Roman"/>
                <w:b/>
                <w:spacing w:val="6"/>
                <w:sz w:val="24"/>
                <w:szCs w:val="24"/>
              </w:rPr>
              <w:t>七</w:t>
            </w:r>
            <w:r>
              <w:rPr>
                <w:rFonts w:ascii="Times New Roman" w:hAnsi="Times New Roman" w:cs="Times New Roman"/>
                <w:b/>
                <w:spacing w:val="6"/>
                <w:sz w:val="24"/>
                <w:szCs w:val="24"/>
              </w:rPr>
              <w:t>、建议</w:t>
            </w:r>
          </w:p>
          <w:p>
            <w:pPr>
              <w:adjustRightInd w:val="0"/>
              <w:snapToGrid w:val="0"/>
              <w:spacing w:line="360" w:lineRule="auto"/>
              <w:ind w:firstLine="480" w:firstLineChars="200"/>
              <w:rPr>
                <w:rFonts w:hint="eastAsia" w:ascii="Times New Roman" w:hAnsi="Times New Roman" w:cs="Times New Roman"/>
                <w:sz w:val="24"/>
                <w:szCs w:val="24"/>
                <w:lang w:eastAsia="zh-CN"/>
              </w:rPr>
            </w:pPr>
            <w:r>
              <w:rPr>
                <w:rFonts w:ascii="Times New Roman" w:hAnsi="Times New Roman" w:cs="Times New Roman"/>
                <w:sz w:val="24"/>
                <w:szCs w:val="24"/>
              </w:rPr>
              <w:t>1、</w:t>
            </w:r>
            <w:r>
              <w:rPr>
                <w:rFonts w:hint="eastAsia" w:ascii="Times New Roman" w:hAnsi="Times New Roman" w:cs="Times New Roman"/>
                <w:sz w:val="24"/>
                <w:szCs w:val="24"/>
              </w:rPr>
              <w:t>针对废气排放应严格监控，定期监测，</w:t>
            </w:r>
            <w:r>
              <w:rPr>
                <w:rFonts w:ascii="Times New Roman" w:hAnsi="Times New Roman" w:cs="Times New Roman"/>
                <w:sz w:val="24"/>
                <w:szCs w:val="24"/>
              </w:rPr>
              <w:t>确保达标排放</w:t>
            </w:r>
            <w:r>
              <w:rPr>
                <w:rFonts w:hint="eastAsia" w:ascii="Times New Roman" w:hAnsi="Times New Roman" w:cs="Times New Roman"/>
                <w:sz w:val="24"/>
                <w:szCs w:val="24"/>
              </w:rPr>
              <w:t>。</w:t>
            </w:r>
            <w:r>
              <w:rPr>
                <w:rFonts w:hint="eastAsia" w:ascii="Times New Roman" w:hAnsi="Times New Roman" w:cs="Times New Roman"/>
                <w:sz w:val="24"/>
                <w:szCs w:val="24"/>
                <w:lang w:eastAsia="zh-CN"/>
              </w:rPr>
              <w:t>公司自行监测计划见表</w:t>
            </w:r>
            <w:r>
              <w:rPr>
                <w:rFonts w:hint="eastAsia" w:ascii="Times New Roman" w:hAnsi="Times New Roman" w:cs="Times New Roman"/>
                <w:sz w:val="24"/>
                <w:szCs w:val="24"/>
                <w:lang w:val="en-US" w:eastAsia="zh-CN"/>
              </w:rPr>
              <w:t>8-1</w:t>
            </w:r>
            <w:r>
              <w:rPr>
                <w:rFonts w:hint="eastAsia" w:ascii="Times New Roman" w:hAnsi="Times New Roman" w:cs="Times New Roman"/>
                <w:sz w:val="24"/>
                <w:szCs w:val="24"/>
                <w:lang w:eastAsia="zh-CN"/>
              </w:rPr>
              <w:t>。</w:t>
            </w:r>
          </w:p>
          <w:p>
            <w:pPr>
              <w:adjustRightInd w:val="0"/>
              <w:snapToGrid w:val="0"/>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固体废物</w:t>
            </w:r>
            <w:r>
              <w:rPr>
                <w:rFonts w:hint="eastAsia" w:ascii="Times New Roman" w:hAnsi="Times New Roman" w:cs="Times New Roman"/>
                <w:sz w:val="24"/>
                <w:szCs w:val="24"/>
              </w:rPr>
              <w:t>应</w:t>
            </w:r>
            <w:r>
              <w:rPr>
                <w:rFonts w:ascii="Times New Roman" w:hAnsi="Times New Roman" w:cs="Times New Roman"/>
                <w:sz w:val="24"/>
                <w:szCs w:val="24"/>
              </w:rPr>
              <w:t>及时清理，不能积压。</w:t>
            </w:r>
          </w:p>
          <w:p>
            <w:pPr>
              <w:adjustRightInd w:val="0"/>
              <w:snapToGrid w:val="0"/>
              <w:spacing w:line="360" w:lineRule="auto"/>
              <w:ind w:firstLine="480" w:firstLineChars="200"/>
              <w:rPr>
                <w:rFonts w:ascii="Times New Roman" w:hAnsi="Times New Roman" w:cs="Times New Roman"/>
                <w:sz w:val="24"/>
              </w:rPr>
            </w:pPr>
            <w:r>
              <w:rPr>
                <w:rFonts w:hint="eastAsia" w:ascii="Times New Roman" w:hAnsi="Times New Roman" w:cs="Times New Roman"/>
                <w:sz w:val="24"/>
                <w:szCs w:val="24"/>
              </w:rPr>
              <w:t>3</w:t>
            </w:r>
            <w:r>
              <w:rPr>
                <w:rFonts w:ascii="Times New Roman" w:hAnsi="Times New Roman" w:cs="Times New Roman"/>
                <w:sz w:val="24"/>
                <w:szCs w:val="24"/>
              </w:rPr>
              <w:t>、加强项目管理人员和职工的环保教育，最大限度地减少资源浪费和对环境的污染。</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111" w:hRule="atLeast"/>
          <w:jc w:val="center"/>
        </w:trPr>
        <w:tc>
          <w:tcPr>
            <w:tcW w:w="5000" w:type="pct"/>
          </w:tcPr>
          <w:p>
            <w:pPr>
              <w:tabs>
                <w:tab w:val="left" w:pos="2775"/>
                <w:tab w:val="center" w:pos="5164"/>
              </w:tabs>
              <w:spacing w:line="360" w:lineRule="auto"/>
              <w:ind w:firstLine="480"/>
              <w:jc w:val="center"/>
              <w:rPr>
                <w:rFonts w:hint="eastAsia" w:ascii="Times New Roman" w:hAnsi="Times New Roman" w:cs="Times New Roman"/>
                <w:b/>
                <w:color w:val="0000FF"/>
                <w:sz w:val="24"/>
                <w:szCs w:val="24"/>
                <w:lang w:val="en-US" w:eastAsia="zh-CN"/>
              </w:rPr>
            </w:pPr>
            <w:r>
              <w:rPr>
                <w:rFonts w:hint="eastAsia" w:ascii="Times New Roman" w:hAnsi="Times New Roman" w:cs="Times New Roman"/>
                <w:b/>
                <w:color w:val="0000FF"/>
                <w:sz w:val="24"/>
                <w:szCs w:val="24"/>
                <w:lang w:val="en-US" w:eastAsia="zh-CN"/>
              </w:rPr>
              <w:t>表8-1 企业自行</w:t>
            </w:r>
            <w:r>
              <w:rPr>
                <w:rFonts w:ascii="Times New Roman" w:hAnsi="Times New Roman" w:cs="Times New Roman"/>
                <w:b/>
                <w:color w:val="0000FF"/>
                <w:sz w:val="24"/>
                <w:szCs w:val="24"/>
              </w:rPr>
              <w:t>监测计划表</w:t>
            </w:r>
          </w:p>
          <w:tbl>
            <w:tblPr>
              <w:tblStyle w:val="30"/>
              <w:tblW w:w="0" w:type="auto"/>
              <w:jc w:val="center"/>
              <w:tblLayout w:type="autofit"/>
              <w:tblCellMar>
                <w:top w:w="0" w:type="dxa"/>
                <w:left w:w="0" w:type="dxa"/>
                <w:bottom w:w="0" w:type="dxa"/>
                <w:right w:w="0" w:type="dxa"/>
              </w:tblCellMar>
            </w:tblPr>
            <w:tblGrid>
              <w:gridCol w:w="1376"/>
              <w:gridCol w:w="1758"/>
              <w:gridCol w:w="3252"/>
              <w:gridCol w:w="1613"/>
            </w:tblGrid>
            <w:tr>
              <w:tblPrEx>
                <w:tblCellMar>
                  <w:top w:w="0" w:type="dxa"/>
                  <w:left w:w="0" w:type="dxa"/>
                  <w:bottom w:w="0" w:type="dxa"/>
                  <w:right w:w="0" w:type="dxa"/>
                </w:tblCellMar>
              </w:tblPrEx>
              <w:trPr>
                <w:trHeight w:val="307" w:hRule="exact"/>
                <w:jc w:val="center"/>
              </w:trPr>
              <w:tc>
                <w:tcPr>
                  <w:tcW w:w="13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b/>
                      <w:bCs/>
                      <w:color w:val="0000FF"/>
                      <w:sz w:val="18"/>
                      <w:szCs w:val="18"/>
                      <w:lang w:eastAsia="zh-CN"/>
                    </w:rPr>
                  </w:pPr>
                  <w:r>
                    <w:rPr>
                      <w:rFonts w:hint="default" w:ascii="Times New Roman" w:hAnsi="Times New Roman" w:cs="Times New Roman"/>
                      <w:b/>
                      <w:bCs/>
                      <w:color w:val="0000FF"/>
                      <w:sz w:val="18"/>
                      <w:szCs w:val="18"/>
                      <w:lang w:eastAsia="zh-CN"/>
                    </w:rPr>
                    <w:t>项目</w:t>
                  </w:r>
                </w:p>
              </w:tc>
              <w:tc>
                <w:tcPr>
                  <w:tcW w:w="17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b/>
                      <w:bCs/>
                      <w:color w:val="0000FF"/>
                      <w:sz w:val="18"/>
                      <w:szCs w:val="18"/>
                      <w:lang w:eastAsia="zh-CN"/>
                    </w:rPr>
                  </w:pPr>
                  <w:r>
                    <w:rPr>
                      <w:rFonts w:hint="default" w:ascii="Times New Roman" w:hAnsi="Times New Roman" w:cs="Times New Roman"/>
                      <w:b/>
                      <w:bCs/>
                      <w:color w:val="0000FF"/>
                      <w:sz w:val="18"/>
                      <w:szCs w:val="18"/>
                      <w:lang w:eastAsia="zh-CN"/>
                    </w:rPr>
                    <w:t>监测点位</w:t>
                  </w:r>
                </w:p>
              </w:tc>
              <w:tc>
                <w:tcPr>
                  <w:tcW w:w="3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b/>
                      <w:bCs/>
                      <w:color w:val="0000FF"/>
                      <w:sz w:val="18"/>
                      <w:szCs w:val="18"/>
                      <w:lang w:eastAsia="zh-CN"/>
                    </w:rPr>
                  </w:pPr>
                  <w:r>
                    <w:rPr>
                      <w:rFonts w:hint="default" w:ascii="Times New Roman" w:hAnsi="Times New Roman" w:cs="Times New Roman"/>
                      <w:b/>
                      <w:bCs/>
                      <w:color w:val="0000FF"/>
                      <w:sz w:val="18"/>
                      <w:szCs w:val="18"/>
                      <w:lang w:eastAsia="zh-CN"/>
                    </w:rPr>
                    <w:t>监测项目</w:t>
                  </w:r>
                </w:p>
              </w:tc>
              <w:tc>
                <w:tcPr>
                  <w:tcW w:w="1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b/>
                      <w:bCs/>
                      <w:color w:val="0000FF"/>
                      <w:sz w:val="18"/>
                      <w:szCs w:val="18"/>
                      <w:lang w:eastAsia="zh-CN"/>
                    </w:rPr>
                  </w:pPr>
                  <w:r>
                    <w:rPr>
                      <w:rFonts w:hint="default" w:ascii="Times New Roman" w:hAnsi="Times New Roman" w:cs="Times New Roman"/>
                      <w:b/>
                      <w:bCs/>
                      <w:color w:val="0000FF"/>
                      <w:sz w:val="18"/>
                      <w:szCs w:val="18"/>
                      <w:lang w:eastAsia="zh-CN"/>
                    </w:rPr>
                    <w:t>监测频率</w:t>
                  </w:r>
                </w:p>
              </w:tc>
            </w:tr>
            <w:tr>
              <w:tblPrEx>
                <w:tblCellMar>
                  <w:top w:w="0" w:type="dxa"/>
                  <w:left w:w="0" w:type="dxa"/>
                  <w:bottom w:w="0" w:type="dxa"/>
                  <w:right w:w="0" w:type="dxa"/>
                </w:tblCellMar>
              </w:tblPrEx>
              <w:trPr>
                <w:trHeight w:val="307" w:hRule="exact"/>
                <w:jc w:val="center"/>
              </w:trPr>
              <w:tc>
                <w:tcPr>
                  <w:tcW w:w="137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eastAsia" w:ascii="Times New Roman" w:hAnsi="Times New Roman" w:cs="Times New Roman"/>
                      <w:color w:val="0000FF"/>
                      <w:sz w:val="18"/>
                      <w:szCs w:val="18"/>
                      <w:lang w:eastAsia="zh-CN"/>
                    </w:rPr>
                    <w:t>噪声</w:t>
                  </w:r>
                </w:p>
              </w:tc>
              <w:tc>
                <w:tcPr>
                  <w:tcW w:w="1758"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eastAsia" w:ascii="Times New Roman" w:hAnsi="Times New Roman" w:cs="Times New Roman"/>
                      <w:color w:val="0000FF"/>
                      <w:sz w:val="18"/>
                      <w:szCs w:val="18"/>
                      <w:lang w:eastAsia="zh-CN"/>
                    </w:rPr>
                    <w:t>厂界</w:t>
                  </w:r>
                </w:p>
              </w:tc>
              <w:tc>
                <w:tcPr>
                  <w:tcW w:w="3252" w:type="dxa"/>
                  <w:tcBorders>
                    <w:top w:val="single" w:color="000000" w:sz="4" w:space="0"/>
                    <w:left w:val="single" w:color="000000" w:sz="4" w:space="0"/>
                    <w:bottom w:val="single" w:color="000000" w:sz="4" w:space="0"/>
                    <w:right w:val="single" w:color="000000" w:sz="4" w:space="0"/>
                  </w:tcBorders>
                  <w:vAlign w:val="top"/>
                </w:tcPr>
                <w:p>
                  <w:pPr>
                    <w:pStyle w:val="68"/>
                    <w:spacing w:line="240" w:lineRule="exact"/>
                    <w:ind w:right="2"/>
                    <w:jc w:val="center"/>
                    <w:rPr>
                      <w:rFonts w:hint="default" w:ascii="Times New Roman" w:hAnsi="Times New Roman" w:cs="Times New Roman"/>
                      <w:color w:val="0000FF"/>
                      <w:sz w:val="18"/>
                      <w:szCs w:val="18"/>
                      <w:lang w:eastAsia="zh-CN"/>
                    </w:rPr>
                  </w:pPr>
                  <w:r>
                    <w:rPr>
                      <w:rFonts w:ascii="宋体" w:hAnsi="宋体" w:eastAsia="宋体" w:cs="宋体"/>
                      <w:color w:val="0000FF"/>
                      <w:sz w:val="21"/>
                      <w:szCs w:val="21"/>
                    </w:rPr>
                    <w:t>等效连续A</w:t>
                  </w:r>
                  <w:r>
                    <w:rPr>
                      <w:rFonts w:ascii="宋体" w:hAnsi="宋体" w:eastAsia="宋体" w:cs="宋体"/>
                      <w:color w:val="0000FF"/>
                      <w:spacing w:val="-58"/>
                      <w:sz w:val="21"/>
                      <w:szCs w:val="21"/>
                    </w:rPr>
                    <w:t xml:space="preserve"> </w:t>
                  </w:r>
                  <w:r>
                    <w:rPr>
                      <w:rFonts w:ascii="宋体" w:hAnsi="宋体" w:eastAsia="宋体" w:cs="宋体"/>
                      <w:color w:val="0000FF"/>
                      <w:sz w:val="21"/>
                      <w:szCs w:val="21"/>
                    </w:rPr>
                    <w:t>声级</w:t>
                  </w:r>
                </w:p>
              </w:tc>
              <w:tc>
                <w:tcPr>
                  <w:tcW w:w="1613" w:type="dxa"/>
                  <w:tcBorders>
                    <w:top w:val="single" w:color="000000" w:sz="4" w:space="0"/>
                    <w:left w:val="single" w:color="000000" w:sz="4" w:space="0"/>
                    <w:bottom w:val="single" w:color="000000" w:sz="4" w:space="0"/>
                    <w:right w:val="single" w:color="000000" w:sz="4" w:space="0"/>
                  </w:tcBorders>
                  <w:vAlign w:val="top"/>
                </w:tcPr>
                <w:p>
                  <w:pPr>
                    <w:pStyle w:val="68"/>
                    <w:spacing w:line="240" w:lineRule="exact"/>
                    <w:ind w:right="1"/>
                    <w:jc w:val="center"/>
                    <w:rPr>
                      <w:rFonts w:hint="default" w:ascii="Times New Roman" w:hAnsi="Times New Roman" w:cs="Times New Roman"/>
                      <w:color w:val="0000FF"/>
                      <w:sz w:val="18"/>
                      <w:szCs w:val="18"/>
                      <w:lang w:eastAsia="zh-CN"/>
                    </w:rPr>
                  </w:pPr>
                  <w:r>
                    <w:rPr>
                      <w:rFonts w:ascii="宋体" w:hAnsi="宋体" w:eastAsia="宋体" w:cs="宋体"/>
                      <w:color w:val="0000FF"/>
                      <w:sz w:val="21"/>
                      <w:szCs w:val="21"/>
                    </w:rPr>
                    <w:t>每季度一</w:t>
                  </w:r>
                  <w:r>
                    <w:rPr>
                      <w:rFonts w:ascii="宋体" w:hAnsi="宋体" w:eastAsia="宋体" w:cs="宋体"/>
                      <w:color w:val="0000FF"/>
                      <w:w w:val="99"/>
                      <w:sz w:val="21"/>
                      <w:szCs w:val="21"/>
                    </w:rPr>
                    <w:t>次</w:t>
                  </w:r>
                </w:p>
              </w:tc>
            </w:tr>
            <w:tr>
              <w:tblPrEx>
                <w:tblCellMar>
                  <w:top w:w="0" w:type="dxa"/>
                  <w:left w:w="0" w:type="dxa"/>
                  <w:bottom w:w="0" w:type="dxa"/>
                  <w:right w:w="0" w:type="dxa"/>
                </w:tblCellMar>
              </w:tblPrEx>
              <w:trPr>
                <w:trHeight w:val="307" w:hRule="exact"/>
                <w:jc w:val="center"/>
              </w:trPr>
              <w:tc>
                <w:tcPr>
                  <w:tcW w:w="1376"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eastAsia" w:ascii="Times New Roman" w:hAnsi="Times New Roman" w:cs="Times New Roman"/>
                      <w:color w:val="0000FF"/>
                      <w:sz w:val="18"/>
                      <w:szCs w:val="18"/>
                      <w:lang w:eastAsia="zh-CN"/>
                    </w:rPr>
                    <w:t>废气</w:t>
                  </w:r>
                </w:p>
              </w:tc>
              <w:tc>
                <w:tcPr>
                  <w:tcW w:w="1758"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default" w:ascii="宋体" w:hAnsi="宋体" w:eastAsia="宋体" w:cs="宋体"/>
                      <w:color w:val="0000FF"/>
                      <w:kern w:val="0"/>
                      <w:sz w:val="21"/>
                      <w:szCs w:val="21"/>
                      <w:lang w:val="en-US" w:eastAsia="zh-CN" w:bidi="ar-SA"/>
                    </w:rPr>
                  </w:pPr>
                  <w:r>
                    <w:rPr>
                      <w:rFonts w:ascii="宋体" w:hAnsi="宋体" w:eastAsia="宋体" w:cs="宋体"/>
                      <w:color w:val="0000FF"/>
                      <w:sz w:val="21"/>
                      <w:szCs w:val="21"/>
                    </w:rPr>
                    <w:t>污水处理站</w:t>
                  </w:r>
                  <w:r>
                    <w:rPr>
                      <w:rFonts w:ascii="宋体" w:hAnsi="宋体" w:eastAsia="宋体" w:cs="宋体"/>
                      <w:color w:val="0000FF"/>
                      <w:w w:val="99"/>
                      <w:sz w:val="21"/>
                      <w:szCs w:val="21"/>
                    </w:rPr>
                    <w:t xml:space="preserve"> </w:t>
                  </w:r>
                  <w:r>
                    <w:rPr>
                      <w:rFonts w:ascii="宋体" w:hAnsi="宋体" w:eastAsia="宋体" w:cs="宋体"/>
                      <w:color w:val="0000FF"/>
                      <w:sz w:val="21"/>
                      <w:szCs w:val="21"/>
                    </w:rPr>
                    <w:t>周边</w:t>
                  </w:r>
                </w:p>
              </w:tc>
              <w:tc>
                <w:tcPr>
                  <w:tcW w:w="325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firstLineChars="0"/>
                    <w:jc w:val="center"/>
                    <w:textAlignment w:val="auto"/>
                    <w:rPr>
                      <w:rFonts w:hint="default" w:ascii="Times New Roman" w:hAnsi="Times New Roman" w:cs="Times New Roman"/>
                      <w:color w:val="0000FF"/>
                      <w:sz w:val="18"/>
                      <w:szCs w:val="18"/>
                      <w:lang w:eastAsia="zh-CN"/>
                    </w:rPr>
                  </w:pPr>
                  <w:r>
                    <w:rPr>
                      <w:rFonts w:ascii="宋体" w:hAnsi="宋体" w:eastAsia="宋体" w:cs="宋体"/>
                      <w:color w:val="0000FF"/>
                      <w:sz w:val="21"/>
                      <w:szCs w:val="21"/>
                    </w:rPr>
                    <w:t>氨、硫化氢、</w:t>
                  </w:r>
                  <w:r>
                    <w:rPr>
                      <w:rFonts w:ascii="宋体" w:hAnsi="宋体" w:eastAsia="宋体" w:cs="宋体"/>
                      <w:color w:val="0000FF"/>
                      <w:w w:val="99"/>
                      <w:sz w:val="21"/>
                      <w:szCs w:val="21"/>
                    </w:rPr>
                    <w:t xml:space="preserve"> </w:t>
                  </w:r>
                  <w:r>
                    <w:rPr>
                      <w:rFonts w:ascii="宋体" w:hAnsi="宋体" w:eastAsia="宋体" w:cs="宋体"/>
                      <w:color w:val="0000FF"/>
                      <w:sz w:val="21"/>
                      <w:szCs w:val="21"/>
                    </w:rPr>
                    <w:t>臭气浓度</w:t>
                  </w:r>
                </w:p>
              </w:tc>
              <w:tc>
                <w:tcPr>
                  <w:tcW w:w="161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jc w:val="center"/>
                    <w:textAlignment w:val="auto"/>
                    <w:rPr>
                      <w:rFonts w:hint="default" w:ascii="宋体" w:hAnsi="宋体" w:eastAsia="宋体" w:cs="宋体"/>
                      <w:color w:val="0000FF"/>
                      <w:kern w:val="0"/>
                      <w:sz w:val="21"/>
                      <w:szCs w:val="21"/>
                      <w:lang w:val="en-US" w:eastAsia="zh-CN" w:bidi="ar-SA"/>
                    </w:rPr>
                  </w:pPr>
                  <w:r>
                    <w:rPr>
                      <w:rFonts w:ascii="宋体" w:hAnsi="宋体" w:eastAsia="宋体" w:cs="宋体"/>
                      <w:color w:val="0000FF"/>
                      <w:sz w:val="21"/>
                      <w:szCs w:val="21"/>
                    </w:rPr>
                    <w:t>每季度</w:t>
                  </w:r>
                  <w:r>
                    <w:rPr>
                      <w:rFonts w:ascii="宋体" w:hAnsi="宋体" w:eastAsia="宋体" w:cs="宋体"/>
                      <w:color w:val="0000FF"/>
                      <w:spacing w:val="-52"/>
                      <w:sz w:val="21"/>
                      <w:szCs w:val="21"/>
                    </w:rPr>
                    <w:t xml:space="preserve"> </w:t>
                  </w:r>
                  <w:r>
                    <w:rPr>
                      <w:rFonts w:ascii="Times New Roman" w:hAnsi="Times New Roman" w:eastAsia="Times New Roman" w:cs="Times New Roman"/>
                      <w:color w:val="0000FF"/>
                      <w:sz w:val="21"/>
                      <w:szCs w:val="21"/>
                    </w:rPr>
                    <w:t>1</w:t>
                  </w:r>
                  <w:r>
                    <w:rPr>
                      <w:rFonts w:ascii="Times New Roman" w:hAnsi="Times New Roman" w:eastAsia="Times New Roman" w:cs="Times New Roman"/>
                      <w:color w:val="0000FF"/>
                      <w:spacing w:val="-3"/>
                      <w:sz w:val="21"/>
                      <w:szCs w:val="21"/>
                    </w:rPr>
                    <w:t xml:space="preserve"> </w:t>
                  </w:r>
                  <w:r>
                    <w:rPr>
                      <w:rFonts w:ascii="宋体" w:hAnsi="宋体" w:eastAsia="宋体" w:cs="宋体"/>
                      <w:color w:val="0000FF"/>
                      <w:sz w:val="21"/>
                      <w:szCs w:val="21"/>
                    </w:rPr>
                    <w:t>次</w:t>
                  </w:r>
                </w:p>
              </w:tc>
            </w:tr>
            <w:tr>
              <w:tblPrEx>
                <w:tblCellMar>
                  <w:top w:w="0" w:type="dxa"/>
                  <w:left w:w="0" w:type="dxa"/>
                  <w:bottom w:w="0" w:type="dxa"/>
                  <w:right w:w="0" w:type="dxa"/>
                </w:tblCellMar>
              </w:tblPrEx>
              <w:trPr>
                <w:trHeight w:val="307" w:hRule="exact"/>
                <w:jc w:val="center"/>
              </w:trPr>
              <w:tc>
                <w:tcPr>
                  <w:tcW w:w="1376"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1758"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right="0" w:rightChars="0" w:firstLine="0"/>
                    <w:jc w:val="center"/>
                    <w:textAlignment w:val="auto"/>
                    <w:rPr>
                      <w:rFonts w:hint="default" w:ascii="宋体" w:hAnsi="宋体" w:eastAsia="宋体" w:cs="宋体"/>
                      <w:color w:val="0000FF"/>
                      <w:kern w:val="0"/>
                      <w:sz w:val="21"/>
                      <w:szCs w:val="21"/>
                      <w:lang w:val="en-US" w:eastAsia="zh-CN" w:bidi="ar-SA"/>
                    </w:rPr>
                  </w:pPr>
                  <w:r>
                    <w:rPr>
                      <w:rFonts w:ascii="宋体" w:hAnsi="宋体" w:eastAsia="宋体" w:cs="宋体"/>
                      <w:color w:val="0000FF"/>
                      <w:sz w:val="21"/>
                      <w:szCs w:val="21"/>
                    </w:rPr>
                    <w:t>厂界</w:t>
                  </w:r>
                </w:p>
              </w:tc>
              <w:tc>
                <w:tcPr>
                  <w:tcW w:w="3252"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jc w:val="center"/>
                    <w:textAlignment w:val="auto"/>
                    <w:rPr>
                      <w:rFonts w:hint="default" w:ascii="Times New Roman" w:hAnsi="Times New Roman" w:cs="Times New Roman"/>
                      <w:color w:val="0000FF"/>
                      <w:sz w:val="18"/>
                      <w:szCs w:val="18"/>
                      <w:lang w:eastAsia="zh-CN"/>
                    </w:rPr>
                  </w:pPr>
                  <w:r>
                    <w:rPr>
                      <w:rFonts w:ascii="宋体" w:hAnsi="宋体" w:eastAsia="宋体" w:cs="宋体"/>
                      <w:color w:val="0000FF"/>
                      <w:sz w:val="21"/>
                      <w:szCs w:val="21"/>
                    </w:rPr>
                    <w:t>臭气浓度</w:t>
                  </w:r>
                </w:p>
              </w:tc>
              <w:tc>
                <w:tcPr>
                  <w:tcW w:w="1613" w:type="dxa"/>
                  <w:tcBorders>
                    <w:top w:val="single" w:color="000000" w:sz="4" w:space="0"/>
                    <w:left w:val="single" w:color="000000" w:sz="4" w:space="0"/>
                    <w:bottom w:val="single" w:color="000000" w:sz="4" w:space="0"/>
                    <w:right w:val="single" w:color="000000" w:sz="4" w:space="0"/>
                  </w:tcBorders>
                  <w:vAlign w:val="center"/>
                </w:tcPr>
                <w:p>
                  <w:pPr>
                    <w:pStyle w:val="68"/>
                    <w:keepNext w:val="0"/>
                    <w:keepLines w:val="0"/>
                    <w:pageBreakBefore w:val="0"/>
                    <w:widowControl w:val="0"/>
                    <w:kinsoku/>
                    <w:wordWrap/>
                    <w:overflowPunct/>
                    <w:topLinePunct w:val="0"/>
                    <w:autoSpaceDE/>
                    <w:autoSpaceDN/>
                    <w:bidi w:val="0"/>
                    <w:adjustRightInd/>
                    <w:snapToGrid/>
                    <w:spacing w:before="0" w:beforeAutospacing="0" w:line="240" w:lineRule="auto"/>
                    <w:ind w:left="0" w:leftChars="0" w:right="0" w:rightChars="0" w:firstLine="0"/>
                    <w:jc w:val="center"/>
                    <w:textAlignment w:val="auto"/>
                    <w:rPr>
                      <w:rFonts w:hint="default" w:ascii="宋体" w:hAnsi="宋体" w:eastAsia="宋体" w:cs="宋体"/>
                      <w:color w:val="0000FF"/>
                      <w:kern w:val="0"/>
                      <w:sz w:val="21"/>
                      <w:szCs w:val="21"/>
                      <w:lang w:val="en-US" w:eastAsia="zh-CN" w:bidi="ar-SA"/>
                    </w:rPr>
                  </w:pPr>
                  <w:r>
                    <w:rPr>
                      <w:rFonts w:ascii="宋体" w:hAnsi="宋体" w:eastAsia="宋体" w:cs="宋体"/>
                      <w:color w:val="0000FF"/>
                      <w:sz w:val="21"/>
                      <w:szCs w:val="21"/>
                    </w:rPr>
                    <w:t>每年</w:t>
                  </w:r>
                  <w:r>
                    <w:rPr>
                      <w:rFonts w:ascii="宋体" w:hAnsi="宋体" w:eastAsia="宋体" w:cs="宋体"/>
                      <w:color w:val="0000FF"/>
                      <w:spacing w:val="-53"/>
                      <w:sz w:val="21"/>
                      <w:szCs w:val="21"/>
                    </w:rPr>
                    <w:t xml:space="preserve"> </w:t>
                  </w:r>
                  <w:r>
                    <w:rPr>
                      <w:rFonts w:ascii="Times New Roman" w:hAnsi="Times New Roman" w:eastAsia="Times New Roman" w:cs="Times New Roman"/>
                      <w:color w:val="0000FF"/>
                      <w:sz w:val="21"/>
                      <w:szCs w:val="21"/>
                    </w:rPr>
                    <w:t>1</w:t>
                  </w:r>
                  <w:r>
                    <w:rPr>
                      <w:rFonts w:ascii="Times New Roman" w:hAnsi="Times New Roman" w:eastAsia="Times New Roman" w:cs="Times New Roman"/>
                      <w:color w:val="0000FF"/>
                      <w:spacing w:val="-2"/>
                      <w:sz w:val="21"/>
                      <w:szCs w:val="21"/>
                    </w:rPr>
                    <w:t xml:space="preserve"> </w:t>
                  </w:r>
                  <w:r>
                    <w:rPr>
                      <w:rFonts w:ascii="宋体" w:hAnsi="宋体" w:eastAsia="宋体" w:cs="宋体"/>
                      <w:color w:val="0000FF"/>
                      <w:sz w:val="21"/>
                      <w:szCs w:val="21"/>
                    </w:rPr>
                    <w:t>次</w:t>
                  </w:r>
                </w:p>
              </w:tc>
            </w:tr>
            <w:tr>
              <w:tblPrEx>
                <w:tblCellMar>
                  <w:top w:w="0" w:type="dxa"/>
                  <w:left w:w="0" w:type="dxa"/>
                  <w:bottom w:w="0" w:type="dxa"/>
                  <w:right w:w="0" w:type="dxa"/>
                </w:tblCellMar>
              </w:tblPrEx>
              <w:trPr>
                <w:trHeight w:val="306" w:hRule="exact"/>
                <w:jc w:val="center"/>
              </w:trPr>
              <w:tc>
                <w:tcPr>
                  <w:tcW w:w="1376"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废水</w:t>
                  </w:r>
                </w:p>
              </w:tc>
              <w:tc>
                <w:tcPr>
                  <w:tcW w:w="1758"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废水排放口</w:t>
                  </w:r>
                </w:p>
              </w:tc>
              <w:tc>
                <w:tcPr>
                  <w:tcW w:w="3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流量</w:t>
                  </w:r>
                </w:p>
              </w:tc>
              <w:tc>
                <w:tcPr>
                  <w:tcW w:w="1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自动监测</w:t>
                  </w:r>
                </w:p>
              </w:tc>
            </w:tr>
            <w:tr>
              <w:tblPrEx>
                <w:tblCellMar>
                  <w:top w:w="0" w:type="dxa"/>
                  <w:left w:w="0" w:type="dxa"/>
                  <w:bottom w:w="0" w:type="dxa"/>
                  <w:right w:w="0" w:type="dxa"/>
                </w:tblCellMar>
              </w:tblPrEx>
              <w:trPr>
                <w:trHeight w:val="306" w:hRule="exact"/>
                <w:jc w:val="center"/>
              </w:trPr>
              <w:tc>
                <w:tcPr>
                  <w:tcW w:w="1376"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1758"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3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pH</w:t>
                  </w:r>
                </w:p>
              </w:tc>
              <w:tc>
                <w:tcPr>
                  <w:tcW w:w="1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12 小时</w:t>
                  </w:r>
                </w:p>
              </w:tc>
            </w:tr>
            <w:tr>
              <w:tblPrEx>
                <w:tblCellMar>
                  <w:top w:w="0" w:type="dxa"/>
                  <w:left w:w="0" w:type="dxa"/>
                  <w:bottom w:w="0" w:type="dxa"/>
                  <w:right w:w="0" w:type="dxa"/>
                </w:tblCellMar>
              </w:tblPrEx>
              <w:trPr>
                <w:trHeight w:val="307" w:hRule="exact"/>
                <w:jc w:val="center"/>
              </w:trPr>
              <w:tc>
                <w:tcPr>
                  <w:tcW w:w="1376"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1758"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3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化学需氧量、悬浮物</w:t>
                  </w:r>
                </w:p>
              </w:tc>
              <w:tc>
                <w:tcPr>
                  <w:tcW w:w="1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周</w:t>
                  </w:r>
                </w:p>
              </w:tc>
            </w:tr>
            <w:tr>
              <w:tblPrEx>
                <w:tblCellMar>
                  <w:top w:w="0" w:type="dxa"/>
                  <w:left w:w="0" w:type="dxa"/>
                  <w:bottom w:w="0" w:type="dxa"/>
                  <w:right w:w="0" w:type="dxa"/>
                </w:tblCellMar>
              </w:tblPrEx>
              <w:trPr>
                <w:trHeight w:val="306" w:hRule="exact"/>
                <w:jc w:val="center"/>
              </w:trPr>
              <w:tc>
                <w:tcPr>
                  <w:tcW w:w="1376"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1758" w:type="dxa"/>
                  <w:vMerge w:val="continue"/>
                  <w:tcBorders>
                    <w:left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3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粪大肠菌群数</w:t>
                  </w:r>
                </w:p>
              </w:tc>
              <w:tc>
                <w:tcPr>
                  <w:tcW w:w="1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月</w:t>
                  </w:r>
                </w:p>
              </w:tc>
            </w:tr>
            <w:tr>
              <w:tblPrEx>
                <w:tblCellMar>
                  <w:top w:w="0" w:type="dxa"/>
                  <w:left w:w="0" w:type="dxa"/>
                  <w:bottom w:w="0" w:type="dxa"/>
                  <w:right w:w="0" w:type="dxa"/>
                </w:tblCellMar>
              </w:tblPrEx>
              <w:trPr>
                <w:trHeight w:val="1315" w:hRule="exact"/>
                <w:jc w:val="center"/>
              </w:trPr>
              <w:tc>
                <w:tcPr>
                  <w:tcW w:w="1376"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1758" w:type="dxa"/>
                  <w:vMerge w:val="continue"/>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tc>
              <w:tc>
                <w:tcPr>
                  <w:tcW w:w="325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五日生化需氧量、石油类、挥发</w:t>
                  </w:r>
                </w:p>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酚、动植物油、阴离子表面活性 剂、总氰化物、总余氯、氨氮</w:t>
                  </w:r>
                </w:p>
              </w:tc>
              <w:tc>
                <w:tcPr>
                  <w:tcW w:w="1613"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p>
                <w:p>
                  <w:pPr>
                    <w:keepNext w:val="0"/>
                    <w:keepLines w:val="0"/>
                    <w:pageBreakBefore w:val="0"/>
                    <w:widowControl w:val="0"/>
                    <w:kinsoku/>
                    <w:wordWrap/>
                    <w:overflowPunct/>
                    <w:topLinePunct w:val="0"/>
                    <w:autoSpaceDE/>
                    <w:autoSpaceDN/>
                    <w:bidi w:val="0"/>
                    <w:adjustRightInd/>
                    <w:snapToGrid/>
                    <w:spacing w:beforeAutospacing="0"/>
                    <w:ind w:left="0" w:right="0" w:firstLine="0"/>
                    <w:jc w:val="center"/>
                    <w:textAlignment w:val="auto"/>
                    <w:rPr>
                      <w:rFonts w:hint="default" w:ascii="Times New Roman" w:hAnsi="Times New Roman" w:cs="Times New Roman"/>
                      <w:color w:val="0000FF"/>
                      <w:sz w:val="18"/>
                      <w:szCs w:val="18"/>
                      <w:lang w:eastAsia="zh-CN"/>
                    </w:rPr>
                  </w:pPr>
                  <w:r>
                    <w:rPr>
                      <w:rFonts w:hint="default" w:ascii="Times New Roman" w:hAnsi="Times New Roman" w:cs="Times New Roman"/>
                      <w:color w:val="0000FF"/>
                      <w:sz w:val="18"/>
                      <w:szCs w:val="18"/>
                      <w:lang w:eastAsia="zh-CN"/>
                    </w:rPr>
                    <w:t>季度</w:t>
                  </w:r>
                </w:p>
              </w:tc>
            </w:tr>
          </w:tbl>
          <w:p>
            <w:pPr>
              <w:adjustRightInd w:val="0"/>
              <w:snapToGrid w:val="0"/>
              <w:spacing w:line="360" w:lineRule="auto"/>
              <w:ind w:firstLine="480" w:firstLineChars="200"/>
              <w:rPr>
                <w:rFonts w:hint="eastAsia" w:ascii="Times New Roman" w:hAnsi="Times New Roman" w:cs="Times New Roman"/>
                <w:sz w:val="24"/>
                <w:szCs w:val="24"/>
              </w:rPr>
            </w:pPr>
          </w:p>
        </w:tc>
      </w:tr>
    </w:tbl>
    <w:p>
      <w:pPr>
        <w:spacing w:line="360" w:lineRule="auto"/>
        <w:rPr>
          <w:rFonts w:ascii="Times New Roman" w:hAnsi="Times New Roman" w:cs="Times New Roman"/>
          <w:spacing w:val="6"/>
          <w:sz w:val="28"/>
          <w:szCs w:val="28"/>
        </w:rPr>
      </w:pPr>
    </w:p>
    <w:p>
      <w:pPr>
        <w:spacing w:line="360" w:lineRule="auto"/>
        <w:rPr>
          <w:rFonts w:ascii="Times New Roman" w:hAnsi="Times New Roman" w:cs="Times New Roman"/>
          <w:spacing w:val="6"/>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附件1  三同时登记表</w:t>
      </w:r>
    </w:p>
    <w:p>
      <w:pPr>
        <w:spacing w:line="300" w:lineRule="exact"/>
        <w:jc w:val="center"/>
        <w:rPr>
          <w:rFonts w:ascii="Times New Roman" w:hAnsi="Times New Roman" w:eastAsia="黑体" w:cs="Times New Roman"/>
          <w:b/>
          <w:color w:val="000000"/>
          <w:sz w:val="28"/>
          <w:szCs w:val="28"/>
        </w:rPr>
      </w:pPr>
      <w:r>
        <w:rPr>
          <w:rFonts w:ascii="Times New Roman" w:hAnsi="Times New Roman" w:eastAsia="黑体" w:cs="Times New Roman"/>
          <w:b/>
          <w:color w:val="000000"/>
          <w:sz w:val="28"/>
          <w:szCs w:val="28"/>
        </w:rPr>
        <w:t>建设项目竣工环境保护“三同时”验收登记表</w:t>
      </w:r>
    </w:p>
    <w:p>
      <w:pPr>
        <w:spacing w:line="300" w:lineRule="exact"/>
        <w:jc w:val="center"/>
        <w:rPr>
          <w:rFonts w:ascii="Times New Roman" w:hAnsi="Times New Roman" w:eastAsia="黑体" w:cs="Times New Roman"/>
          <w:b/>
          <w:color w:val="000000"/>
        </w:rPr>
      </w:pPr>
    </w:p>
    <w:p>
      <w:pPr>
        <w:rPr>
          <w:rFonts w:ascii="Times New Roman" w:hAnsi="Times New Roman" w:eastAsia="宋体" w:cs="Times New Roman"/>
          <w:b/>
          <w:color w:val="000000"/>
        </w:rPr>
      </w:pPr>
      <w:r>
        <w:rPr>
          <w:rFonts w:ascii="Times New Roman" w:hAnsi="Times New Roman" w:eastAsia="宋体" w:cs="Times New Roman"/>
          <w:b/>
          <w:color w:val="000000"/>
        </w:rPr>
        <w:t>填表单位（盖章）：</w:t>
      </w:r>
      <w:r>
        <w:rPr>
          <w:rFonts w:hint="eastAsia" w:ascii="Times New Roman" w:hAnsi="Times New Roman" w:eastAsia="宋体" w:cs="Times New Roman"/>
          <w:sz w:val="18"/>
          <w:szCs w:val="18"/>
          <w:lang w:eastAsia="zh-CN"/>
        </w:rPr>
        <w:t>山东新中鲁中医医院有限公司</w:t>
      </w:r>
      <w:r>
        <w:rPr>
          <w:rFonts w:ascii="Times New Roman" w:hAnsi="Times New Roman" w:eastAsia="宋体" w:cs="Times New Roman"/>
          <w:b/>
          <w:color w:val="000000"/>
        </w:rPr>
        <w:t xml:space="preserve">                 填表人（签字）：                              项目经办人（签字）：</w:t>
      </w:r>
    </w:p>
    <w:tbl>
      <w:tblPr>
        <w:tblStyle w:val="30"/>
        <w:tblW w:w="211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222"/>
        <w:gridCol w:w="881"/>
        <w:gridCol w:w="1134"/>
        <w:gridCol w:w="1200"/>
        <w:gridCol w:w="1560"/>
        <w:gridCol w:w="1417"/>
        <w:gridCol w:w="1418"/>
        <w:gridCol w:w="1275"/>
        <w:gridCol w:w="1418"/>
        <w:gridCol w:w="1321"/>
        <w:gridCol w:w="2931"/>
        <w:gridCol w:w="1843"/>
        <w:gridCol w:w="992"/>
        <w:gridCol w:w="993"/>
        <w:gridCol w:w="642"/>
        <w:gridCol w:w="13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restart"/>
            <w:tcMar>
              <w:left w:w="57" w:type="dxa"/>
              <w:right w:w="57" w:type="dxa"/>
            </w:tcMar>
            <w:textDirection w:val="tbRlV"/>
            <w:vAlign w:val="center"/>
          </w:tcPr>
          <w:p>
            <w:pPr>
              <w:ind w:left="113" w:right="113"/>
              <w:jc w:val="center"/>
              <w:rPr>
                <w:rFonts w:ascii="Times New Roman" w:hAnsi="Times New Roman" w:cs="Times New Roman"/>
                <w:b/>
                <w:color w:val="000000"/>
                <w:sz w:val="18"/>
                <w:szCs w:val="18"/>
              </w:rPr>
            </w:pPr>
            <w:r>
              <w:rPr>
                <w:rFonts w:ascii="Times New Roman" w:hAnsi="Times New Roman" w:cs="Times New Roman"/>
                <w:b/>
                <w:color w:val="000000"/>
                <w:sz w:val="18"/>
                <w:szCs w:val="18"/>
              </w:rPr>
              <w:t>建设项目</w:t>
            </w:r>
          </w:p>
        </w:tc>
        <w:tc>
          <w:tcPr>
            <w:tcW w:w="2237" w:type="dxa"/>
            <w:gridSpan w:val="3"/>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项目名称</w:t>
            </w:r>
          </w:p>
        </w:tc>
        <w:tc>
          <w:tcPr>
            <w:tcW w:w="6870" w:type="dxa"/>
            <w:gridSpan w:val="5"/>
            <w:tcMar>
              <w:left w:w="57" w:type="dxa"/>
              <w:right w:w="57" w:type="dxa"/>
            </w:tcMar>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建设项目</w:t>
            </w:r>
          </w:p>
        </w:tc>
        <w:tc>
          <w:tcPr>
            <w:tcW w:w="2739"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项目代码</w:t>
            </w:r>
          </w:p>
        </w:tc>
        <w:tc>
          <w:tcPr>
            <w:tcW w:w="2931" w:type="dxa"/>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themeColor="text1"/>
                <w:sz w:val="18"/>
                <w:szCs w:val="18"/>
                <w14:textFill>
                  <w14:solidFill>
                    <w14:schemeClr w14:val="tx1"/>
                  </w14:solidFill>
                </w14:textFill>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sz w:val="18"/>
                <w:szCs w:val="18"/>
              </w:rPr>
              <w:t>建设地点</w:t>
            </w:r>
          </w:p>
        </w:tc>
        <w:tc>
          <w:tcPr>
            <w:tcW w:w="3969" w:type="dxa"/>
            <w:gridSpan w:val="4"/>
            <w:tcMar>
              <w:left w:w="57" w:type="dxa"/>
              <w:right w:w="57" w:type="dxa"/>
            </w:tcMar>
            <w:vAlign w:val="center"/>
          </w:tcPr>
          <w:p>
            <w:pPr>
              <w:jc w:val="center"/>
              <w:rPr>
                <w:rFonts w:hint="eastAsia" w:ascii="Times New Roman" w:hAnsi="Times New Roman" w:cs="Times New Roman" w:eastAsiaTheme="minorEastAsia"/>
                <w:color w:val="000000"/>
                <w:sz w:val="18"/>
                <w:szCs w:val="18"/>
                <w:lang w:eastAsia="zh-CN"/>
              </w:rPr>
            </w:pPr>
            <w:r>
              <w:rPr>
                <w:rFonts w:hint="eastAsia" w:ascii="Times New Roman" w:hAnsi="Times New Roman" w:cs="Times New Roman"/>
                <w:sz w:val="18"/>
                <w:szCs w:val="18"/>
                <w:lang w:eastAsia="zh-CN"/>
              </w:rPr>
              <w:t>山东省济南市历下区趵突泉街道趵突泉南路 6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行业类别（分类管理名录）</w:t>
            </w:r>
          </w:p>
        </w:tc>
        <w:tc>
          <w:tcPr>
            <w:tcW w:w="6870" w:type="dxa"/>
            <w:gridSpan w:val="5"/>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sz w:val="18"/>
                <w:szCs w:val="18"/>
              </w:rPr>
              <w:t>Q8412  中医医院</w:t>
            </w:r>
          </w:p>
        </w:tc>
        <w:tc>
          <w:tcPr>
            <w:tcW w:w="2739"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建设性质</w:t>
            </w:r>
          </w:p>
        </w:tc>
        <w:tc>
          <w:tcPr>
            <w:tcW w:w="4774" w:type="dxa"/>
            <w:gridSpan w:val="2"/>
            <w:tcMar>
              <w:left w:w="57" w:type="dxa"/>
              <w:right w:w="57" w:type="dxa"/>
            </w:tcMar>
            <w:vAlign w:val="center"/>
          </w:tcPr>
          <w:p>
            <w:pPr>
              <w:jc w:val="center"/>
              <w:rPr>
                <w:rFonts w:ascii="Times New Roman" w:hAnsi="Times New Roman" w:cs="Times New Roman"/>
                <w:sz w:val="18"/>
                <w:szCs w:val="18"/>
              </w:rPr>
            </w:pPr>
            <w:r>
              <w:rPr>
                <w:rFonts w:hint="default" w:ascii="Arial" w:hAnsi="Arial" w:cs="Arial"/>
                <w:b/>
                <w:sz w:val="18"/>
                <w:szCs w:val="18"/>
              </w:rPr>
              <w:t>√</w:t>
            </w:r>
            <w:r>
              <w:rPr>
                <w:rFonts w:ascii="Times New Roman" w:hAnsi="Times New Roman" w:cs="Times New Roman"/>
                <w:b/>
                <w:sz w:val="18"/>
                <w:szCs w:val="18"/>
              </w:rPr>
              <w:t>新建</w:t>
            </w:r>
            <w:r>
              <w:rPr>
                <w:rFonts w:hint="eastAsia" w:ascii="Times New Roman" w:hAnsi="Times New Roman" w:cs="Times New Roman"/>
                <w:b/>
                <w:sz w:val="18"/>
                <w:szCs w:val="18"/>
              </w:rPr>
              <w:sym w:font="Wingdings 2" w:char="00A3"/>
            </w:r>
            <w:r>
              <w:rPr>
                <w:rFonts w:ascii="Times New Roman" w:hAnsi="Times New Roman" w:cs="Times New Roman"/>
                <w:b/>
                <w:sz w:val="18"/>
                <w:szCs w:val="18"/>
              </w:rPr>
              <w:t xml:space="preserve"> 改</w:t>
            </w:r>
            <w:r>
              <w:rPr>
                <w:rFonts w:hint="eastAsia" w:ascii="Times New Roman" w:hAnsi="Times New Roman" w:cs="Times New Roman"/>
                <w:b/>
                <w:sz w:val="18"/>
                <w:szCs w:val="18"/>
              </w:rPr>
              <w:t>扩建</w:t>
            </w:r>
            <w:r>
              <w:rPr>
                <w:rFonts w:ascii="Times New Roman" w:hAnsi="Times New Roman" w:cs="Times New Roman"/>
                <w:b/>
                <w:sz w:val="18"/>
                <w:szCs w:val="18"/>
              </w:rPr>
              <w:sym w:font="Wingdings 2" w:char="00A3"/>
            </w:r>
            <w:r>
              <w:rPr>
                <w:rFonts w:ascii="Times New Roman" w:hAnsi="Times New Roman" w:cs="Times New Roman"/>
                <w:b/>
                <w:sz w:val="18"/>
                <w:szCs w:val="18"/>
              </w:rPr>
              <w:t>技术改造</w:t>
            </w:r>
          </w:p>
        </w:tc>
        <w:tc>
          <w:tcPr>
            <w:tcW w:w="1985" w:type="dxa"/>
            <w:gridSpan w:val="2"/>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b/>
                <w:bCs/>
                <w:color w:val="000000"/>
                <w:sz w:val="18"/>
                <w:szCs w:val="18"/>
              </w:rPr>
              <w:t>项目厂区中心经度/纬度</w:t>
            </w:r>
          </w:p>
        </w:tc>
        <w:tc>
          <w:tcPr>
            <w:tcW w:w="1984" w:type="dxa"/>
            <w:gridSpan w:val="2"/>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设计生产能力</w:t>
            </w:r>
          </w:p>
        </w:tc>
        <w:tc>
          <w:tcPr>
            <w:tcW w:w="6870" w:type="dxa"/>
            <w:gridSpan w:val="5"/>
            <w:tcMar>
              <w:left w:w="57" w:type="dxa"/>
              <w:right w:w="57" w:type="dxa"/>
            </w:tcMar>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2739" w:type="dxa"/>
            <w:gridSpan w:val="2"/>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实际生产能力</w:t>
            </w:r>
          </w:p>
        </w:tc>
        <w:tc>
          <w:tcPr>
            <w:tcW w:w="2931" w:type="dxa"/>
            <w:tcMar>
              <w:left w:w="57" w:type="dxa"/>
              <w:right w:w="57" w:type="dxa"/>
            </w:tcMar>
            <w:vAlign w:val="center"/>
          </w:tcPr>
          <w:p>
            <w:pPr>
              <w:jc w:val="center"/>
              <w:rPr>
                <w:rFonts w:ascii="Times New Roman" w:hAnsi="Times New Roman" w:cs="Times New Roman"/>
                <w:b/>
                <w:sz w:val="18"/>
                <w:szCs w:val="18"/>
              </w:rPr>
            </w:pPr>
            <w:r>
              <w:rPr>
                <w:rFonts w:hint="eastAsia" w:ascii="Times New Roman" w:hAnsi="Times New Roman" w:cs="Times New Roman"/>
                <w:sz w:val="18"/>
                <w:szCs w:val="18"/>
              </w:rPr>
              <w:t>/</w:t>
            </w:r>
          </w:p>
        </w:tc>
        <w:tc>
          <w:tcPr>
            <w:tcW w:w="1843" w:type="dxa"/>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环评单位</w:t>
            </w:r>
          </w:p>
        </w:tc>
        <w:tc>
          <w:tcPr>
            <w:tcW w:w="3969" w:type="dxa"/>
            <w:gridSpan w:val="4"/>
            <w:tcMar>
              <w:left w:w="57" w:type="dxa"/>
              <w:right w:w="57" w:type="dxa"/>
            </w:tcMar>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山东启迪科臻环境科技有限公司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环评文件审批机关</w:t>
            </w:r>
          </w:p>
        </w:tc>
        <w:tc>
          <w:tcPr>
            <w:tcW w:w="6870" w:type="dxa"/>
            <w:gridSpan w:val="5"/>
            <w:tcMar>
              <w:left w:w="57" w:type="dxa"/>
              <w:right w:w="57" w:type="dxa"/>
            </w:tcMar>
            <w:vAlign w:val="center"/>
          </w:tcPr>
          <w:p>
            <w:pPr>
              <w:jc w:val="center"/>
              <w:rPr>
                <w:rFonts w:hint="eastAsia" w:ascii="Times New Roman" w:hAnsi="Times New Roman" w:cs="Times New Roman" w:eastAsiaTheme="minorEastAsia"/>
                <w:sz w:val="18"/>
                <w:szCs w:val="18"/>
                <w:lang w:eastAsia="zh-CN"/>
              </w:rPr>
            </w:pPr>
            <w:r>
              <w:rPr>
                <w:rFonts w:hint="eastAsia" w:ascii="Times New Roman" w:hAnsi="Times New Roman" w:cs="Times New Roman"/>
                <w:sz w:val="18"/>
                <w:szCs w:val="18"/>
              </w:rPr>
              <w:t>济南市生态环境局</w:t>
            </w:r>
            <w:r>
              <w:rPr>
                <w:rFonts w:hint="eastAsia" w:ascii="Times New Roman" w:hAnsi="Times New Roman" w:cs="Times New Roman"/>
                <w:sz w:val="18"/>
                <w:szCs w:val="18"/>
                <w:lang w:eastAsia="zh-CN"/>
              </w:rPr>
              <w:t>历下分局</w:t>
            </w:r>
          </w:p>
        </w:tc>
        <w:tc>
          <w:tcPr>
            <w:tcW w:w="2739" w:type="dxa"/>
            <w:gridSpan w:val="2"/>
            <w:tcMar>
              <w:left w:w="57" w:type="dxa"/>
              <w:right w:w="57" w:type="dxa"/>
            </w:tcMar>
            <w:vAlign w:val="center"/>
          </w:tcPr>
          <w:p>
            <w:pPr>
              <w:jc w:val="center"/>
              <w:rPr>
                <w:rFonts w:ascii="Times New Roman" w:hAnsi="Times New Roman" w:cs="Times New Roman"/>
                <w:b/>
                <w:sz w:val="18"/>
                <w:szCs w:val="18"/>
              </w:rPr>
            </w:pPr>
            <w:r>
              <w:rPr>
                <w:rFonts w:ascii="Times New Roman" w:hAnsi="Times New Roman" w:cs="Times New Roman"/>
                <w:b/>
                <w:sz w:val="18"/>
                <w:szCs w:val="18"/>
              </w:rPr>
              <w:t>审批文号</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历下环建审报告表[202</w:t>
            </w:r>
            <w:r>
              <w:rPr>
                <w:rFonts w:hint="eastAsia" w:ascii="Times New Roman" w:hAnsi="Times New Roman" w:cs="Times New Roman"/>
                <w:color w:val="000000" w:themeColor="text1"/>
                <w:sz w:val="18"/>
                <w:szCs w:val="18"/>
                <w:lang w:val="en-US" w:eastAsia="zh-CN"/>
                <w14:textFill>
                  <w14:solidFill>
                    <w14:schemeClr w14:val="tx1"/>
                  </w14:solidFill>
                </w14:textFill>
              </w:rPr>
              <w:t>2</w:t>
            </w:r>
            <w:r>
              <w:rPr>
                <w:rFonts w:hint="eastAsia"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lang w:val="en-US" w:eastAsia="zh-CN"/>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号</w:t>
            </w:r>
          </w:p>
        </w:tc>
        <w:tc>
          <w:tcPr>
            <w:tcW w:w="1843"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环评文件类型</w:t>
            </w:r>
          </w:p>
        </w:tc>
        <w:tc>
          <w:tcPr>
            <w:tcW w:w="3969" w:type="dxa"/>
            <w:gridSpan w:val="4"/>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sz w:val="18"/>
                <w:szCs w:val="18"/>
              </w:rPr>
            </w:pPr>
            <w:r>
              <w:rPr>
                <w:rFonts w:ascii="Times New Roman" w:hAnsi="Times New Roman" w:cs="Times New Roman"/>
                <w:b/>
                <w:sz w:val="18"/>
                <w:szCs w:val="18"/>
              </w:rPr>
              <w:t>开工日期</w:t>
            </w:r>
          </w:p>
        </w:tc>
        <w:tc>
          <w:tcPr>
            <w:tcW w:w="6870" w:type="dxa"/>
            <w:gridSpan w:val="5"/>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sz w:val="18"/>
                <w:szCs w:val="18"/>
              </w:rPr>
              <w:t>/</w:t>
            </w:r>
          </w:p>
        </w:tc>
        <w:tc>
          <w:tcPr>
            <w:tcW w:w="2739" w:type="dxa"/>
            <w:gridSpan w:val="2"/>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竣工日期</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排污许可证申领时间</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2023年2月10日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环保设施设计单位</w:t>
            </w:r>
          </w:p>
        </w:tc>
        <w:tc>
          <w:tcPr>
            <w:tcW w:w="6870" w:type="dxa"/>
            <w:gridSpan w:val="5"/>
            <w:tcMar>
              <w:left w:w="57" w:type="dxa"/>
              <w:right w:w="57" w:type="dxa"/>
            </w:tcMar>
            <w:vAlign w:val="center"/>
          </w:tcPr>
          <w:p>
            <w:pPr>
              <w:jc w:val="center"/>
              <w:rPr>
                <w:rFonts w:hint="eastAsia" w:ascii="Times New Roman" w:hAnsi="Times New Roman" w:cs="Times New Roman" w:eastAsiaTheme="minorEastAsia"/>
                <w:b/>
                <w:color w:val="000000" w:themeColor="text1"/>
                <w:sz w:val="18"/>
                <w:szCs w:val="18"/>
                <w:lang w:val="en-US" w:eastAsia="zh-CN"/>
                <w14:textFill>
                  <w14:solidFill>
                    <w14:schemeClr w14:val="tx1"/>
                  </w14:solidFill>
                </w14:textFill>
              </w:rPr>
            </w:pPr>
            <w:r>
              <w:rPr>
                <w:rFonts w:hint="eastAsia" w:ascii="Times New Roman" w:hAnsi="Times New Roman" w:cs="Times New Roman"/>
                <w:b/>
                <w:color w:val="000000" w:themeColor="text1"/>
                <w:sz w:val="18"/>
                <w:szCs w:val="18"/>
                <w:lang w:val="en-US" w:eastAsia="zh-CN"/>
                <w14:textFill>
                  <w14:solidFill>
                    <w14:schemeClr w14:val="tx1"/>
                  </w14:solidFill>
                </w14:textFill>
              </w:rPr>
              <w:t>/</w:t>
            </w:r>
          </w:p>
        </w:tc>
        <w:tc>
          <w:tcPr>
            <w:tcW w:w="2739" w:type="dxa"/>
            <w:gridSpan w:val="2"/>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环保设施施工单位</w:t>
            </w:r>
          </w:p>
        </w:tc>
        <w:tc>
          <w:tcPr>
            <w:tcW w:w="2931"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本工程排污许可证编号</w:t>
            </w:r>
          </w:p>
        </w:tc>
        <w:tc>
          <w:tcPr>
            <w:tcW w:w="3969" w:type="dxa"/>
            <w:gridSpan w:val="4"/>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lang w:val="en-US" w:eastAsia="zh-CN"/>
                <w14:textFill>
                  <w14:solidFill>
                    <w14:schemeClr w14:val="tx1"/>
                  </w14:solidFill>
                </w14:textFill>
              </w:rPr>
              <w:t>91370102MA3PF6476P002X</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验收单位</w:t>
            </w:r>
          </w:p>
        </w:tc>
        <w:tc>
          <w:tcPr>
            <w:tcW w:w="6870" w:type="dxa"/>
            <w:gridSpan w:val="5"/>
            <w:tcMar>
              <w:left w:w="57" w:type="dxa"/>
              <w:right w:w="57" w:type="dxa"/>
            </w:tcMar>
            <w:vAlign w:val="center"/>
          </w:tcPr>
          <w:p>
            <w:pPr>
              <w:jc w:val="center"/>
              <w:rPr>
                <w:rFonts w:hint="eastAsia" w:ascii="Times New Roman" w:hAnsi="Times New Roman" w:cs="Times New Roman" w:eastAsiaTheme="minorEastAsia"/>
                <w:b/>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山东新中鲁中医医院有限公司</w:t>
            </w:r>
          </w:p>
        </w:tc>
        <w:tc>
          <w:tcPr>
            <w:tcW w:w="2739" w:type="dxa"/>
            <w:gridSpan w:val="2"/>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环保设施监测单位</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山东中环检验检测有限公司</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验收监测时工况</w:t>
            </w:r>
          </w:p>
        </w:tc>
        <w:tc>
          <w:tcPr>
            <w:tcW w:w="3969" w:type="dxa"/>
            <w:gridSpan w:val="4"/>
            <w:tcMar>
              <w:left w:w="57" w:type="dxa"/>
              <w:right w:w="57" w:type="dxa"/>
            </w:tcMar>
            <w:vAlign w:val="center"/>
          </w:tcPr>
          <w:p>
            <w:pPr>
              <w:jc w:val="cente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2"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投资总概算（万元）</w:t>
            </w:r>
          </w:p>
        </w:tc>
        <w:tc>
          <w:tcPr>
            <w:tcW w:w="6870" w:type="dxa"/>
            <w:gridSpan w:val="5"/>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1000</w:t>
            </w:r>
          </w:p>
        </w:tc>
        <w:tc>
          <w:tcPr>
            <w:tcW w:w="2739" w:type="dxa"/>
            <w:gridSpan w:val="2"/>
            <w:tcMar>
              <w:left w:w="57" w:type="dxa"/>
              <w:right w:w="57" w:type="dxa"/>
            </w:tcMar>
            <w:vAlign w:val="center"/>
          </w:tcPr>
          <w:p>
            <w:pPr>
              <w:tabs>
                <w:tab w:val="left" w:pos="690"/>
              </w:tabs>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环保投资总概算（万元）</w:t>
            </w:r>
          </w:p>
        </w:tc>
        <w:tc>
          <w:tcPr>
            <w:tcW w:w="2931" w:type="dxa"/>
            <w:tcMar>
              <w:left w:w="57" w:type="dxa"/>
              <w:right w:w="57" w:type="dxa"/>
            </w:tcMar>
            <w:vAlign w:val="center"/>
          </w:tcPr>
          <w:p>
            <w:pPr>
              <w:jc w:val="cente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8</w:t>
            </w:r>
          </w:p>
        </w:tc>
        <w:tc>
          <w:tcPr>
            <w:tcW w:w="1843" w:type="dxa"/>
            <w:tcMar>
              <w:left w:w="57" w:type="dxa"/>
              <w:right w:w="57" w:type="dxa"/>
            </w:tcMar>
            <w:vAlign w:val="center"/>
          </w:tcPr>
          <w:p>
            <w:pPr>
              <w:tabs>
                <w:tab w:val="left" w:pos="690"/>
              </w:tabs>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所占比例（%）</w:t>
            </w:r>
          </w:p>
        </w:tc>
        <w:tc>
          <w:tcPr>
            <w:tcW w:w="3969" w:type="dxa"/>
            <w:gridSpan w:val="4"/>
            <w:tcMar>
              <w:left w:w="57" w:type="dxa"/>
              <w:right w:w="57" w:type="dxa"/>
            </w:tcMar>
            <w:vAlign w:val="center"/>
          </w:tcPr>
          <w:p>
            <w:pPr>
              <w:tabs>
                <w:tab w:val="left" w:pos="690"/>
              </w:tabs>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实际总投资</w:t>
            </w:r>
          </w:p>
        </w:tc>
        <w:tc>
          <w:tcPr>
            <w:tcW w:w="6870" w:type="dxa"/>
            <w:gridSpan w:val="5"/>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1000</w:t>
            </w:r>
          </w:p>
        </w:tc>
        <w:tc>
          <w:tcPr>
            <w:tcW w:w="2739" w:type="dxa"/>
            <w:gridSpan w:val="2"/>
            <w:tcMar>
              <w:left w:w="57" w:type="dxa"/>
              <w:right w:w="57" w:type="dxa"/>
            </w:tcMar>
            <w:vAlign w:val="center"/>
          </w:tcPr>
          <w:p>
            <w:pPr>
              <w:ind w:right="300"/>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实际环保投资（万元）</w:t>
            </w:r>
          </w:p>
        </w:tc>
        <w:tc>
          <w:tcPr>
            <w:tcW w:w="2931"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10</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所占比例（%）</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废水治理（万元）</w:t>
            </w:r>
          </w:p>
        </w:tc>
        <w:tc>
          <w:tcPr>
            <w:tcW w:w="1200" w:type="dxa"/>
            <w:tcMar>
              <w:left w:w="57" w:type="dxa"/>
              <w:right w:w="57" w:type="dxa"/>
            </w:tcMar>
            <w:vAlign w:val="center"/>
          </w:tcPr>
          <w:p>
            <w:pPr>
              <w:jc w:val="cente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7</w:t>
            </w:r>
          </w:p>
        </w:tc>
        <w:tc>
          <w:tcPr>
            <w:tcW w:w="1560"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废气治理（万元）</w:t>
            </w:r>
          </w:p>
        </w:tc>
        <w:tc>
          <w:tcPr>
            <w:tcW w:w="1417" w:type="dxa"/>
            <w:tcMar>
              <w:left w:w="57" w:type="dxa"/>
              <w:right w:w="57" w:type="dxa"/>
            </w:tcMar>
            <w:vAlign w:val="center"/>
          </w:tcPr>
          <w:p>
            <w:pPr>
              <w:jc w:val="cente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w:t>
            </w:r>
            <w:r>
              <w:rPr>
                <w:rFonts w:hint="eastAsia" w:ascii="Times New Roman" w:hAnsi="Times New Roman" w:cs="Times New Roman"/>
                <w:color w:val="000000" w:themeColor="text1"/>
                <w:sz w:val="18"/>
                <w:szCs w:val="18"/>
                <w:lang w:val="en-US" w:eastAsia="zh-CN"/>
                <w14:textFill>
                  <w14:solidFill>
                    <w14:schemeClr w14:val="tx1"/>
                  </w14:solidFill>
                </w14:textFill>
              </w:rPr>
              <w:t>1</w:t>
            </w:r>
          </w:p>
        </w:tc>
        <w:tc>
          <w:tcPr>
            <w:tcW w:w="1418"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噪声治理（万元）</w:t>
            </w:r>
          </w:p>
        </w:tc>
        <w:tc>
          <w:tcPr>
            <w:tcW w:w="1275"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0.9</w:t>
            </w:r>
          </w:p>
        </w:tc>
        <w:tc>
          <w:tcPr>
            <w:tcW w:w="2739"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固体废物治理（万元）</w:t>
            </w:r>
          </w:p>
        </w:tc>
        <w:tc>
          <w:tcPr>
            <w:tcW w:w="2931" w:type="dxa"/>
            <w:tcMar>
              <w:left w:w="57" w:type="dxa"/>
              <w:right w:w="57" w:type="dxa"/>
            </w:tcMar>
            <w:vAlign w:val="center"/>
          </w:tcPr>
          <w:p>
            <w:pPr>
              <w:jc w:val="cente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2</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绿化及生态（万元）</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35" w:type="dxa"/>
            <w:gridSpan w:val="2"/>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其他（万元）</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69" w:type="dxa"/>
            <w:vMerge w:val="continue"/>
            <w:tcMar>
              <w:left w:w="57" w:type="dxa"/>
              <w:right w:w="57" w:type="dxa"/>
            </w:tcMar>
            <w:vAlign w:val="center"/>
          </w:tcPr>
          <w:p>
            <w:pPr>
              <w:jc w:val="center"/>
              <w:rPr>
                <w:rFonts w:ascii="Times New Roman" w:hAnsi="Times New Roman" w:cs="Times New Roman"/>
                <w:color w:val="000000"/>
                <w:sz w:val="18"/>
                <w:szCs w:val="18"/>
              </w:rPr>
            </w:pPr>
          </w:p>
        </w:tc>
        <w:tc>
          <w:tcPr>
            <w:tcW w:w="2237" w:type="dxa"/>
            <w:gridSpan w:val="3"/>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新增废水处理设施能力</w:t>
            </w:r>
          </w:p>
        </w:tc>
        <w:tc>
          <w:tcPr>
            <w:tcW w:w="6870" w:type="dxa"/>
            <w:gridSpan w:val="5"/>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739"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新增废气处理设施能力</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年平均工作时</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806" w:type="dxa"/>
            <w:gridSpan w:val="4"/>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运营单位</w:t>
            </w:r>
          </w:p>
        </w:tc>
        <w:tc>
          <w:tcPr>
            <w:tcW w:w="5595" w:type="dxa"/>
            <w:gridSpan w:val="4"/>
            <w:tcMar>
              <w:left w:w="57" w:type="dxa"/>
              <w:right w:w="57" w:type="dxa"/>
            </w:tcMar>
            <w:vAlign w:val="center"/>
          </w:tcPr>
          <w:p>
            <w:pPr>
              <w:jc w:val="cente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山东新中鲁中医医院有限公司</w:t>
            </w:r>
          </w:p>
        </w:tc>
        <w:tc>
          <w:tcPr>
            <w:tcW w:w="4014" w:type="dxa"/>
            <w:gridSpan w:val="3"/>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运营单位社会统一信用代码（或组织机构代码）</w:t>
            </w:r>
          </w:p>
        </w:tc>
        <w:tc>
          <w:tcPr>
            <w:tcW w:w="2931"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91370102MA3PF6476P</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验收时间</w:t>
            </w:r>
          </w:p>
        </w:tc>
        <w:tc>
          <w:tcPr>
            <w:tcW w:w="3969" w:type="dxa"/>
            <w:gridSpan w:val="4"/>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r>
              <w:rPr>
                <w:rFonts w:hint="eastAsia" w:ascii="Times New Roman" w:hAnsi="Times New Roman" w:cs="Times New Roman"/>
                <w:color w:val="000000" w:themeColor="text1"/>
                <w:sz w:val="18"/>
                <w:szCs w:val="18"/>
                <w14:textFill>
                  <w14:solidFill>
                    <w14:schemeClr w14:val="tx1"/>
                  </w14:solidFill>
                </w14:textFill>
              </w:rPr>
              <w:t>2</w:t>
            </w:r>
            <w:r>
              <w:rPr>
                <w:rFonts w:hint="eastAsia" w:ascii="Times New Roman" w:hAnsi="Times New Roman" w:cs="Times New Roman"/>
                <w:color w:val="000000" w:themeColor="text1"/>
                <w:sz w:val="18"/>
                <w:szCs w:val="18"/>
                <w:lang w:val="en-US" w:eastAsia="zh-CN"/>
                <w14:textFill>
                  <w14:solidFill>
                    <w14:schemeClr w14:val="tx1"/>
                  </w14:solidFill>
                </w14:textFill>
              </w:rPr>
              <w:t>3</w:t>
            </w:r>
            <w:r>
              <w:rPr>
                <w:rFonts w:hint="eastAsia" w:ascii="Times New Roman" w:hAnsi="Times New Roman" w:cs="Times New Roman"/>
                <w:color w:val="000000" w:themeColor="text1"/>
                <w:sz w:val="18"/>
                <w:szCs w:val="18"/>
                <w:lang w:eastAsia="zh-CN"/>
                <w14:textFill>
                  <w14:solidFill>
                    <w14:schemeClr w14:val="tx1"/>
                  </w14:solidFill>
                </w14:textFill>
              </w:rPr>
              <w:t>年</w:t>
            </w:r>
            <w:r>
              <w:rPr>
                <w:rFonts w:hint="eastAsia" w:ascii="Times New Roman" w:hAnsi="Times New Roman" w:cs="Times New Roman"/>
                <w:color w:val="000000" w:themeColor="text1"/>
                <w:sz w:val="18"/>
                <w:szCs w:val="18"/>
                <w:lang w:val="en-US" w:eastAsia="zh-CN"/>
                <w14:textFill>
                  <w14:solidFill>
                    <w14:schemeClr w14:val="tx1"/>
                  </w14:solidFill>
                </w14:textFill>
              </w:rPr>
              <w:t>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restart"/>
            <w:tcMar>
              <w:left w:w="57" w:type="dxa"/>
              <w:right w:w="57" w:type="dxa"/>
            </w:tcMar>
            <w:vAlign w:val="center"/>
          </w:tcPr>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污染</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物排</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放达</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标与</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总量</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控制（工</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业建</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设项</w:t>
            </w:r>
          </w:p>
          <w:p>
            <w:pPr>
              <w:jc w:val="center"/>
              <w:rPr>
                <w:rFonts w:ascii="Times New Roman" w:hAnsi="Times New Roman" w:eastAsia="黑体" w:cs="Times New Roman"/>
                <w:b/>
                <w:color w:val="000000"/>
                <w:spacing w:val="20"/>
                <w:sz w:val="18"/>
                <w:szCs w:val="18"/>
              </w:rPr>
            </w:pPr>
            <w:r>
              <w:rPr>
                <w:rFonts w:ascii="Times New Roman" w:hAnsi="Times New Roman" w:eastAsia="黑体" w:cs="Times New Roman"/>
                <w:b/>
                <w:color w:val="000000"/>
                <w:spacing w:val="20"/>
                <w:sz w:val="18"/>
                <w:szCs w:val="18"/>
              </w:rPr>
              <w:t>目详填）</w:t>
            </w:r>
          </w:p>
        </w:tc>
        <w:tc>
          <w:tcPr>
            <w:tcW w:w="2015"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污染物</w:t>
            </w:r>
          </w:p>
        </w:tc>
        <w:tc>
          <w:tcPr>
            <w:tcW w:w="1200"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原有排</w:t>
            </w:r>
          </w:p>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放量(1)</w:t>
            </w:r>
          </w:p>
        </w:tc>
        <w:tc>
          <w:tcPr>
            <w:tcW w:w="1560"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本期工程实际排放浓度(2)</w:t>
            </w:r>
          </w:p>
        </w:tc>
        <w:tc>
          <w:tcPr>
            <w:tcW w:w="1417"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本期工程允许排放浓度(3)</w:t>
            </w:r>
          </w:p>
        </w:tc>
        <w:tc>
          <w:tcPr>
            <w:tcW w:w="1418"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本期工程产生量(4)</w:t>
            </w:r>
          </w:p>
        </w:tc>
        <w:tc>
          <w:tcPr>
            <w:tcW w:w="1275"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本期工程自身削减量(5)</w:t>
            </w:r>
          </w:p>
        </w:tc>
        <w:tc>
          <w:tcPr>
            <w:tcW w:w="1418"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本期工程实际排放量(6)</w:t>
            </w:r>
          </w:p>
        </w:tc>
        <w:tc>
          <w:tcPr>
            <w:tcW w:w="1321"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本期工程核定排放总量(7)</w:t>
            </w:r>
          </w:p>
        </w:tc>
        <w:tc>
          <w:tcPr>
            <w:tcW w:w="2931"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本期工程“以新带老”削减量(8)</w:t>
            </w:r>
          </w:p>
        </w:tc>
        <w:tc>
          <w:tcPr>
            <w:tcW w:w="1843"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全厂实际排放总量(9)</w:t>
            </w:r>
          </w:p>
        </w:tc>
        <w:tc>
          <w:tcPr>
            <w:tcW w:w="992"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全厂核定排放总量(10)</w:t>
            </w:r>
          </w:p>
        </w:tc>
        <w:tc>
          <w:tcPr>
            <w:tcW w:w="1635" w:type="dxa"/>
            <w:gridSpan w:val="2"/>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区域平衡替代削减量(11)</w:t>
            </w:r>
          </w:p>
        </w:tc>
        <w:tc>
          <w:tcPr>
            <w:tcW w:w="1342"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eastAsia="黑体" w:cs="Times New Roman"/>
                <w:b/>
                <w:color w:val="000000"/>
                <w:spacing w:val="2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hint="eastAsia" w:ascii="Times New Roman" w:hAnsi="Times New Roman" w:cs="Times New Roman"/>
                <w:b/>
                <w:color w:val="000000"/>
                <w:sz w:val="18"/>
                <w:szCs w:val="18"/>
              </w:rPr>
              <w:t>水量</w:t>
            </w:r>
          </w:p>
        </w:tc>
        <w:tc>
          <w:tcPr>
            <w:tcW w:w="1200" w:type="dxa"/>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hint="default" w:ascii="Times New Roman" w:hAnsi="Times New Roman" w:cs="Times New Roman" w:eastAsiaTheme="minorEastAsia"/>
                <w:b/>
                <w:color w:val="000000" w:themeColor="text1"/>
                <w:sz w:val="18"/>
                <w:szCs w:val="18"/>
                <w:lang w:val="en-US" w:eastAsia="zh-CN"/>
                <w14:textFill>
                  <w14:solidFill>
                    <w14:schemeClr w14:val="tx1"/>
                  </w14:solidFill>
                </w14:textFill>
              </w:rPr>
            </w:pPr>
            <w:r>
              <w:rPr>
                <w:rFonts w:hint="eastAsia" w:ascii="Times New Roman" w:hAnsi="Times New Roman" w:cs="Times New Roman"/>
                <w:b/>
                <w:color w:val="000000" w:themeColor="text1"/>
                <w:sz w:val="18"/>
                <w:szCs w:val="18"/>
                <w:lang w:val="en-US" w:eastAsia="zh-CN"/>
                <w14:textFill>
                  <w14:solidFill>
                    <w14:schemeClr w14:val="tx1"/>
                  </w14:solidFill>
                </w14:textFill>
              </w:rPr>
              <w:t>/</w:t>
            </w:r>
          </w:p>
        </w:tc>
        <w:tc>
          <w:tcPr>
            <w:tcW w:w="1418"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color w:val="000000"/>
                <w:sz w:val="18"/>
                <w:szCs w:val="18"/>
                <w:lang w:val="en-US" w:eastAsia="zh-CN"/>
              </w:rPr>
              <w:t>0.431</w:t>
            </w:r>
          </w:p>
        </w:tc>
        <w:tc>
          <w:tcPr>
            <w:tcW w:w="1321"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sz w:val="18"/>
                <w:szCs w:val="18"/>
                <w:lang w:val="en-US" w:eastAsia="zh-CN"/>
              </w:rPr>
              <w:t>0.431</w:t>
            </w:r>
          </w:p>
        </w:tc>
        <w:tc>
          <w:tcPr>
            <w:tcW w:w="992"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b/>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化学需氧量</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sz w:val="18"/>
                <w:szCs w:val="18"/>
                <w:lang w:val="en-US" w:eastAsia="zh-CN"/>
              </w:rPr>
              <w:t>73</w:t>
            </w:r>
          </w:p>
        </w:tc>
        <w:tc>
          <w:tcPr>
            <w:tcW w:w="1417" w:type="dxa"/>
            <w:tcMar>
              <w:left w:w="57" w:type="dxa"/>
              <w:right w:w="57" w:type="dxa"/>
            </w:tcMar>
            <w:vAlign w:val="center"/>
          </w:tcPr>
          <w:p>
            <w:pPr>
              <w:jc w:val="center"/>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 xml:space="preserve">120 </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0.31 </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0.31 </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氨氮</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sz w:val="18"/>
                <w:szCs w:val="18"/>
                <w:lang w:val="en-US" w:eastAsia="zh-CN"/>
              </w:rPr>
              <w:t>1.57</w:t>
            </w:r>
          </w:p>
        </w:tc>
        <w:tc>
          <w:tcPr>
            <w:tcW w:w="1417" w:type="dxa"/>
            <w:tcMar>
              <w:left w:w="57" w:type="dxa"/>
              <w:right w:w="57" w:type="dxa"/>
            </w:tcMar>
            <w:vAlign w:val="center"/>
          </w:tcPr>
          <w:p>
            <w:pPr>
              <w:jc w:val="center"/>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 xml:space="preserve">25 </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0.01 </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0.01 </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2"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hint="eastAsia" w:ascii="Times New Roman" w:hAnsi="Times New Roman" w:cs="Times New Roman"/>
                <w:b/>
                <w:color w:val="000000"/>
                <w:sz w:val="18"/>
                <w:szCs w:val="18"/>
              </w:rPr>
              <w:t>悬浮物</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sz w:val="18"/>
                <w:szCs w:val="18"/>
                <w:lang w:val="en-US" w:eastAsia="zh-CN"/>
              </w:rPr>
              <w:t>26</w:t>
            </w:r>
          </w:p>
        </w:tc>
        <w:tc>
          <w:tcPr>
            <w:tcW w:w="1417" w:type="dxa"/>
            <w:tcMar>
              <w:left w:w="57" w:type="dxa"/>
              <w:right w:w="57" w:type="dxa"/>
            </w:tcMar>
            <w:vAlign w:val="center"/>
          </w:tcPr>
          <w:p>
            <w:pPr>
              <w:jc w:val="center"/>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 xml:space="preserve">60 </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0.11 </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0.11 </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hint="eastAsia" w:ascii="Times New Roman" w:hAnsi="Times New Roman" w:cs="Times New Roman"/>
                <w:b/>
                <w:color w:val="000000"/>
                <w:sz w:val="18"/>
                <w:szCs w:val="18"/>
              </w:rPr>
              <w:t>BOD</w:t>
            </w:r>
            <w:r>
              <w:rPr>
                <w:rFonts w:hint="eastAsia" w:ascii="Times New Roman" w:hAnsi="Times New Roman" w:cs="Times New Roman"/>
                <w:b/>
                <w:color w:val="000000"/>
                <w:sz w:val="18"/>
                <w:szCs w:val="18"/>
                <w:vertAlign w:val="subscript"/>
              </w:rPr>
              <w:t>5</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sz w:val="18"/>
                <w:szCs w:val="18"/>
                <w:lang w:val="en-US" w:eastAsia="zh-CN"/>
              </w:rPr>
              <w:t>23.1</w:t>
            </w:r>
          </w:p>
        </w:tc>
        <w:tc>
          <w:tcPr>
            <w:tcW w:w="1417" w:type="dxa"/>
            <w:tcMar>
              <w:left w:w="57" w:type="dxa"/>
              <w:right w:w="57" w:type="dxa"/>
            </w:tcMar>
            <w:vAlign w:val="center"/>
          </w:tcPr>
          <w:p>
            <w:pPr>
              <w:jc w:val="center"/>
              <w:rPr>
                <w:rFonts w:hint="eastAsia" w:ascii="Times New Roman" w:hAnsi="Times New Roman" w:cs="Times New Roman"/>
                <w:color w:val="000000"/>
                <w:sz w:val="18"/>
                <w:szCs w:val="18"/>
                <w:lang w:val="en-US" w:eastAsia="zh-CN"/>
              </w:rPr>
            </w:pPr>
            <w:r>
              <w:rPr>
                <w:rFonts w:hint="eastAsia" w:ascii="Times New Roman" w:hAnsi="Times New Roman" w:cs="Times New Roman"/>
                <w:color w:val="000000"/>
                <w:sz w:val="18"/>
                <w:szCs w:val="18"/>
                <w:lang w:val="en-US" w:eastAsia="zh-CN"/>
              </w:rPr>
              <w:t>30</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0.10 </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hint="default"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t xml:space="preserve">0.10 </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二氧化硫</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hint="eastAsia" w:ascii="Times New Roman" w:hAnsi="Times New Roman" w:cs="Times New Roman"/>
                <w:b/>
                <w:color w:val="000000"/>
                <w:sz w:val="18"/>
                <w:szCs w:val="18"/>
              </w:rPr>
              <w:t>颗粒物</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cs="Times New Roman"/>
                <w:b/>
                <w:color w:val="000000"/>
                <w:sz w:val="18"/>
                <w:szCs w:val="18"/>
              </w:rPr>
            </w:pPr>
            <w:r>
              <w:rPr>
                <w:rFonts w:ascii="Times New Roman" w:hAnsi="Times New Roman" w:cs="Times New Roman"/>
                <w:b/>
                <w:color w:val="000000"/>
                <w:sz w:val="18"/>
                <w:szCs w:val="18"/>
              </w:rPr>
              <w:t>氮氧化物</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2015" w:type="dxa"/>
            <w:gridSpan w:val="2"/>
            <w:tcMar>
              <w:left w:w="57" w:type="dxa"/>
              <w:right w:w="57" w:type="dxa"/>
            </w:tcMar>
            <w:vAlign w:val="center"/>
          </w:tcPr>
          <w:p>
            <w:pPr>
              <w:jc w:val="center"/>
              <w:rPr>
                <w:rFonts w:ascii="Times New Roman" w:hAnsi="Times New Roman" w:eastAsia="黑体" w:cs="Times New Roman"/>
                <w:b/>
                <w:color w:val="000000"/>
                <w:sz w:val="18"/>
                <w:szCs w:val="18"/>
              </w:rPr>
            </w:pPr>
            <w:r>
              <w:rPr>
                <w:rFonts w:ascii="Times New Roman" w:hAnsi="Times New Roman" w:cs="Times New Roman"/>
                <w:b/>
                <w:color w:val="000000"/>
                <w:sz w:val="18"/>
                <w:szCs w:val="18"/>
              </w:rPr>
              <w:t>工业固体废物</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881" w:type="dxa"/>
            <w:vMerge w:val="restart"/>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b/>
                <w:color w:val="000000"/>
                <w:sz w:val="18"/>
                <w:szCs w:val="18"/>
              </w:rPr>
              <w:t>与项目有关的其他特征污染物</w:t>
            </w:r>
          </w:p>
        </w:tc>
        <w:tc>
          <w:tcPr>
            <w:tcW w:w="1134" w:type="dxa"/>
            <w:tcMar>
              <w:left w:w="57" w:type="dxa"/>
              <w:right w:w="57" w:type="dxa"/>
            </w:tcMar>
            <w:vAlign w:val="center"/>
          </w:tcPr>
          <w:p>
            <w:pPr>
              <w:jc w:val="center"/>
              <w:rPr>
                <w:rFonts w:ascii="Times New Roman" w:hAnsi="Times New Roman" w:cs="Times New Roman"/>
                <w:color w:val="000000"/>
                <w:sz w:val="18"/>
                <w:szCs w:val="18"/>
              </w:rPr>
            </w:pPr>
            <w:r>
              <w:rPr>
                <w:rFonts w:hint="eastAsia" w:ascii="Times New Roman" w:hAnsi="Times New Roman" w:cs="Times New Roman"/>
                <w:color w:val="000000"/>
                <w:sz w:val="18"/>
                <w:szCs w:val="18"/>
                <w:lang w:val="en-US" w:eastAsia="zh-CN"/>
              </w:rPr>
              <w:t>/</w:t>
            </w:r>
          </w:p>
        </w:tc>
        <w:tc>
          <w:tcPr>
            <w:tcW w:w="1200" w:type="dxa"/>
            <w:tcMar>
              <w:left w:w="57" w:type="dxa"/>
              <w:right w:w="57" w:type="dxa"/>
            </w:tcMar>
            <w:vAlign w:val="center"/>
          </w:tcPr>
          <w:p>
            <w:pPr>
              <w:jc w:val="center"/>
              <w:rPr>
                <w:rFonts w:hint="eastAsia" w:ascii="Times New Roman" w:hAnsi="Times New Roman" w:cs="Times New Roman" w:eastAsiaTheme="minorEastAsia"/>
                <w:color w:val="000000"/>
                <w:sz w:val="18"/>
                <w:szCs w:val="18"/>
                <w:lang w:eastAsia="zh-CN"/>
              </w:rPr>
            </w:pPr>
            <w:r>
              <w:rPr>
                <w:rFonts w:hint="eastAsia" w:ascii="Times New Roman" w:hAnsi="Times New Roman" w:cs="Times New Roman"/>
                <w:color w:val="000000"/>
                <w:sz w:val="18"/>
                <w:szCs w:val="18"/>
                <w:lang w:val="en-US" w:eastAsia="zh-CN"/>
              </w:rPr>
              <w:t>/</w:t>
            </w:r>
          </w:p>
        </w:tc>
        <w:tc>
          <w:tcPr>
            <w:tcW w:w="156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2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635" w:type="dxa"/>
            <w:gridSpan w:val="2"/>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342"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881" w:type="dxa"/>
            <w:vMerge w:val="continue"/>
            <w:tcMar>
              <w:left w:w="57" w:type="dxa"/>
              <w:right w:w="57" w:type="dxa"/>
            </w:tcMar>
            <w:vAlign w:val="center"/>
          </w:tcPr>
          <w:p>
            <w:pPr>
              <w:jc w:val="center"/>
              <w:rPr>
                <w:rFonts w:ascii="Times New Roman" w:hAnsi="Times New Roman" w:cs="Times New Roman"/>
                <w:b/>
                <w:color w:val="000000"/>
                <w:sz w:val="18"/>
                <w:szCs w:val="18"/>
              </w:rPr>
            </w:pPr>
          </w:p>
        </w:tc>
        <w:tc>
          <w:tcPr>
            <w:tcW w:w="1134"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0"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7"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sz w:val="18"/>
                <w:szCs w:val="18"/>
              </w:rPr>
              <w:t>/</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791" w:type="dxa"/>
            <w:gridSpan w:val="2"/>
            <w:vMerge w:val="continue"/>
            <w:tcMar>
              <w:left w:w="57" w:type="dxa"/>
              <w:right w:w="57" w:type="dxa"/>
            </w:tcMar>
            <w:vAlign w:val="center"/>
          </w:tcPr>
          <w:p>
            <w:pPr>
              <w:jc w:val="center"/>
              <w:rPr>
                <w:rFonts w:ascii="Times New Roman" w:hAnsi="Times New Roman" w:cs="Times New Roman"/>
                <w:color w:val="000000"/>
                <w:sz w:val="18"/>
                <w:szCs w:val="18"/>
              </w:rPr>
            </w:pPr>
          </w:p>
        </w:tc>
        <w:tc>
          <w:tcPr>
            <w:tcW w:w="881" w:type="dxa"/>
            <w:vMerge w:val="continue"/>
            <w:tcMar>
              <w:left w:w="57" w:type="dxa"/>
              <w:right w:w="57" w:type="dxa"/>
            </w:tcMar>
            <w:vAlign w:val="center"/>
          </w:tcPr>
          <w:p>
            <w:pPr>
              <w:jc w:val="center"/>
              <w:rPr>
                <w:rFonts w:ascii="Times New Roman" w:hAnsi="Times New Roman" w:cs="Times New Roman"/>
                <w:b/>
                <w:color w:val="000000"/>
                <w:sz w:val="18"/>
                <w:szCs w:val="18"/>
              </w:rPr>
            </w:pPr>
          </w:p>
        </w:tc>
        <w:tc>
          <w:tcPr>
            <w:tcW w:w="1134"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200" w:type="dxa"/>
            <w:tcMar>
              <w:left w:w="57" w:type="dxa"/>
              <w:right w:w="57" w:type="dxa"/>
            </w:tcMar>
            <w:vAlign w:val="center"/>
          </w:tcPr>
          <w:p>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1560"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417"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275"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418"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2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2931"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843"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99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635" w:type="dxa"/>
            <w:gridSpan w:val="2"/>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42" w:type="dxa"/>
            <w:tcMar>
              <w:left w:w="57" w:type="dxa"/>
              <w:right w:w="57" w:type="dxa"/>
            </w:tcMar>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bl>
    <w:p>
      <w:pPr>
        <w:rPr>
          <w:rFonts w:ascii="Times New Roman" w:hAnsi="Times New Roman" w:cs="Times New Roman"/>
          <w:color w:val="000000"/>
          <w:sz w:val="15"/>
          <w:szCs w:val="15"/>
        </w:rPr>
      </w:pPr>
      <w:r>
        <w:rPr>
          <w:rFonts w:ascii="Times New Roman" w:hAnsi="Times New Roman" w:cs="Times New Roman"/>
          <w:b/>
          <w:color w:val="000000"/>
          <w:sz w:val="15"/>
          <w:szCs w:val="15"/>
        </w:rPr>
        <w:t>注</w:t>
      </w:r>
      <w:r>
        <w:rPr>
          <w:rFonts w:ascii="Times New Roman" w:hAnsi="Times New Roman" w:cs="Times New Roman"/>
          <w:color w:val="000000"/>
          <w:sz w:val="15"/>
          <w:szCs w:val="15"/>
        </w:rPr>
        <w:t>：1、</w:t>
      </w:r>
      <w:r>
        <w:rPr>
          <w:rFonts w:ascii="Times New Roman" w:hAnsi="Times New Roman" w:cs="Times New Roman"/>
          <w:color w:val="000000"/>
          <w:spacing w:val="-4"/>
          <w:sz w:val="15"/>
          <w:szCs w:val="15"/>
        </w:rPr>
        <w:t>排放增减量：（+）表示增加，（-）表示减少。2、(12)=(6)-(8)-(11)，（9）= (4)-(5)-(8)- (11) +（1）。3、计量单位：废水排放量——万吨/年；废气排放量——万标立方米/年；工业固体废物排放</w:t>
      </w:r>
      <w:r>
        <w:rPr>
          <w:rFonts w:ascii="Times New Roman" w:hAnsi="Times New Roman" w:cs="Times New Roman"/>
          <w:color w:val="000000"/>
          <w:sz w:val="15"/>
          <w:szCs w:val="15"/>
        </w:rPr>
        <w:t>量——万吨/年；水污染物排放浓度——毫克/升</w:t>
      </w:r>
    </w:p>
    <w:p>
      <w:pPr>
        <w:ind w:firstLine="2520" w:firstLineChars="1400"/>
        <w:rPr>
          <w:rFonts w:ascii="Times New Roman" w:hAnsi="Times New Roman" w:cs="Times New Roman"/>
          <w:sz w:val="18"/>
          <w:szCs w:val="18"/>
        </w:rPr>
      </w:pPr>
    </w:p>
    <w:p>
      <w:pPr>
        <w:rPr>
          <w:rFonts w:ascii="Times New Roman" w:hAnsi="Times New Roman" w:cs="Times New Roman"/>
          <w:sz w:val="18"/>
          <w:szCs w:val="18"/>
        </w:rPr>
        <w:sectPr>
          <w:headerReference r:id="rId7" w:type="default"/>
          <w:pgSz w:w="23814" w:h="16840" w:orient="landscape"/>
          <w:pgMar w:top="1418" w:right="1440" w:bottom="851" w:left="1440" w:header="851" w:footer="992" w:gutter="0"/>
          <w:pgBorders>
            <w:top w:val="none" w:sz="0" w:space="0"/>
            <w:left w:val="none" w:sz="0" w:space="0"/>
            <w:bottom w:val="none" w:sz="0" w:space="0"/>
            <w:right w:val="none" w:sz="0" w:space="0"/>
          </w:pgBorders>
          <w:cols w:space="425" w:num="1"/>
          <w:docGrid w:type="linesAndChars" w:linePitch="312" w:charSpace="0"/>
        </w:sectPr>
      </w:pPr>
    </w:p>
    <w:p>
      <w:pPr>
        <w:pStyle w:val="4"/>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附件2  环评批复</w:t>
      </w:r>
    </w:p>
    <w:p>
      <w:pPr>
        <w:jc w:val="center"/>
        <w:rPr>
          <w:rFonts w:hint="eastAsia" w:ascii="Times New Roman" w:hAnsi="Times New Roman" w:cs="Times New Roman" w:eastAsiaTheme="minorEastAsia"/>
          <w:b/>
          <w:spacing w:val="6"/>
          <w:sz w:val="28"/>
          <w:szCs w:val="28"/>
          <w:lang w:eastAsia="zh-CN"/>
        </w:rPr>
      </w:pPr>
      <w:r>
        <w:rPr>
          <w:rFonts w:hint="eastAsia" w:ascii="Times New Roman" w:hAnsi="Times New Roman" w:cs="Times New Roman" w:eastAsiaTheme="minorEastAsia"/>
          <w:b/>
          <w:spacing w:val="6"/>
          <w:sz w:val="28"/>
          <w:szCs w:val="28"/>
          <w:lang w:eastAsia="zh-CN"/>
        </w:rPr>
        <w:drawing>
          <wp:inline distT="0" distB="0" distL="114300" distR="114300">
            <wp:extent cx="5760085" cy="8145780"/>
            <wp:effectExtent l="0" t="0" r="12065" b="7620"/>
            <wp:docPr id="14" name="图片 14" descr="中鲁批复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鲁批复_页面_1"/>
                    <pic:cNvPicPr>
                      <a:picLocks noChangeAspect="1"/>
                    </pic:cNvPicPr>
                  </pic:nvPicPr>
                  <pic:blipFill>
                    <a:blip r:embed="rId25"/>
                    <a:stretch>
                      <a:fillRect/>
                    </a:stretch>
                  </pic:blipFill>
                  <pic:spPr>
                    <a:xfrm>
                      <a:off x="0" y="0"/>
                      <a:ext cx="5760085" cy="8145780"/>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760085" cy="8145780"/>
            <wp:effectExtent l="0" t="0" r="12065" b="7620"/>
            <wp:docPr id="15" name="图片 15" descr="中鲁批复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中鲁批复_页面_2"/>
                    <pic:cNvPicPr>
                      <a:picLocks noChangeAspect="1"/>
                    </pic:cNvPicPr>
                  </pic:nvPicPr>
                  <pic:blipFill>
                    <a:blip r:embed="rId26"/>
                    <a:stretch>
                      <a:fillRect/>
                    </a:stretch>
                  </pic:blipFill>
                  <pic:spPr>
                    <a:xfrm>
                      <a:off x="0" y="0"/>
                      <a:ext cx="5760085" cy="8145780"/>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760085" cy="8145780"/>
            <wp:effectExtent l="0" t="0" r="12065" b="7620"/>
            <wp:docPr id="16" name="图片 16" descr="中鲁批复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鲁批复_页面_3"/>
                    <pic:cNvPicPr>
                      <a:picLocks noChangeAspect="1"/>
                    </pic:cNvPicPr>
                  </pic:nvPicPr>
                  <pic:blipFill>
                    <a:blip r:embed="rId27"/>
                    <a:stretch>
                      <a:fillRect/>
                    </a:stretch>
                  </pic:blipFill>
                  <pic:spPr>
                    <a:xfrm>
                      <a:off x="0" y="0"/>
                      <a:ext cx="5760085" cy="8145780"/>
                    </a:xfrm>
                    <a:prstGeom prst="rect">
                      <a:avLst/>
                    </a:prstGeom>
                  </pic:spPr>
                </pic:pic>
              </a:graphicData>
            </a:graphic>
          </wp:inline>
        </w:drawing>
      </w:r>
      <w:r>
        <w:rPr>
          <w:rFonts w:hint="eastAsia" w:ascii="Times New Roman" w:hAnsi="Times New Roman" w:cs="Times New Roman" w:eastAsiaTheme="minorEastAsia"/>
          <w:b/>
          <w:spacing w:val="6"/>
          <w:sz w:val="28"/>
          <w:szCs w:val="28"/>
          <w:lang w:eastAsia="zh-CN"/>
        </w:rPr>
        <w:drawing>
          <wp:inline distT="0" distB="0" distL="114300" distR="114300">
            <wp:extent cx="5760085" cy="8145780"/>
            <wp:effectExtent l="0" t="0" r="12065" b="7620"/>
            <wp:docPr id="17" name="图片 17" descr="中鲁批复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鲁批复_页面_4"/>
                    <pic:cNvPicPr>
                      <a:picLocks noChangeAspect="1"/>
                    </pic:cNvPicPr>
                  </pic:nvPicPr>
                  <pic:blipFill>
                    <a:blip r:embed="rId28"/>
                    <a:stretch>
                      <a:fillRect/>
                    </a:stretch>
                  </pic:blipFill>
                  <pic:spPr>
                    <a:xfrm>
                      <a:off x="0" y="0"/>
                      <a:ext cx="5760085" cy="8145780"/>
                    </a:xfrm>
                    <a:prstGeom prst="rect">
                      <a:avLst/>
                    </a:prstGeom>
                  </pic:spPr>
                </pic:pic>
              </a:graphicData>
            </a:graphic>
          </wp:inline>
        </w:drawing>
      </w:r>
    </w:p>
    <w:p>
      <w:pPr>
        <w:pStyle w:val="2"/>
        <w:rPr>
          <w:b/>
          <w:spacing w:val="6"/>
          <w:sz w:val="28"/>
          <w:szCs w:val="28"/>
        </w:rPr>
      </w:pPr>
    </w:p>
    <w:p>
      <w:pPr>
        <w:pStyle w:val="2"/>
        <w:rPr>
          <w:b/>
          <w:spacing w:val="6"/>
          <w:sz w:val="28"/>
          <w:szCs w:val="28"/>
        </w:rPr>
      </w:pPr>
    </w:p>
    <w:p>
      <w:pPr>
        <w:pStyle w:val="2"/>
        <w:rPr>
          <w:b/>
          <w:spacing w:val="6"/>
          <w:sz w:val="28"/>
          <w:szCs w:val="28"/>
        </w:rPr>
      </w:pPr>
    </w:p>
    <w:p>
      <w:pPr>
        <w:pStyle w:val="4"/>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附件</w:t>
      </w:r>
      <w:r>
        <w:rPr>
          <w:rFonts w:hint="eastAsia" w:ascii="Times New Roman" w:hAnsi="Times New Roman" w:cs="Times New Roman"/>
          <w:sz w:val="28"/>
          <w:szCs w:val="28"/>
        </w:rPr>
        <w:t>3</w:t>
      </w:r>
      <w:r>
        <w:rPr>
          <w:rFonts w:ascii="Times New Roman" w:hAnsi="Times New Roman" w:cs="Times New Roman"/>
          <w:sz w:val="28"/>
          <w:szCs w:val="28"/>
        </w:rPr>
        <w:t xml:space="preserve">  验收监测委托函</w:t>
      </w:r>
    </w:p>
    <w:p>
      <w:pPr>
        <w:jc w:val="center"/>
        <w:rPr>
          <w:sz w:val="44"/>
          <w:szCs w:val="44"/>
        </w:rPr>
      </w:pPr>
    </w:p>
    <w:p>
      <w:pPr>
        <w:jc w:val="center"/>
        <w:rPr>
          <w:b/>
          <w:bCs/>
          <w:sz w:val="44"/>
          <w:szCs w:val="44"/>
        </w:rPr>
      </w:pPr>
      <w:r>
        <w:rPr>
          <w:rFonts w:hint="eastAsia"/>
          <w:b/>
          <w:bCs/>
          <w:sz w:val="44"/>
          <w:szCs w:val="44"/>
        </w:rPr>
        <w:t>委托函</w:t>
      </w:r>
    </w:p>
    <w:p>
      <w:pPr>
        <w:jc w:val="center"/>
        <w:rPr>
          <w:sz w:val="44"/>
          <w:szCs w:val="44"/>
        </w:rPr>
      </w:pPr>
    </w:p>
    <w:p>
      <w:pPr>
        <w:jc w:val="left"/>
        <w:rPr>
          <w:sz w:val="28"/>
          <w:szCs w:val="28"/>
          <w:highlight w:val="green"/>
        </w:rPr>
      </w:pPr>
      <w:r>
        <w:rPr>
          <w:rFonts w:hint="eastAsia"/>
          <w:sz w:val="28"/>
          <w:szCs w:val="28"/>
          <w:highlight w:val="none"/>
        </w:rPr>
        <w:t>山东中环检验检测有限公司：</w:t>
      </w:r>
    </w:p>
    <w:p>
      <w:pPr>
        <w:spacing w:line="360" w:lineRule="auto"/>
        <w:ind w:firstLine="540"/>
        <w:jc w:val="left"/>
        <w:rPr>
          <w:sz w:val="28"/>
          <w:szCs w:val="28"/>
        </w:rPr>
      </w:pPr>
      <w:r>
        <w:rPr>
          <w:rFonts w:hint="eastAsia"/>
          <w:sz w:val="28"/>
          <w:szCs w:val="28"/>
        </w:rPr>
        <w:t>我公司建设项目已竣工开始试运行，现生产及环保治理设施运行正常。根据环境保护有关法律法规及建设项目竣工环境保护验收管理办法的有关规定，需对该项目进行竣工环境保护验收，特委托贵公司承担该项目环境保护验收监测工作。</w:t>
      </w:r>
    </w:p>
    <w:p>
      <w:pPr>
        <w:spacing w:line="360" w:lineRule="auto"/>
        <w:ind w:firstLine="540"/>
        <w:jc w:val="left"/>
        <w:rPr>
          <w:sz w:val="28"/>
          <w:szCs w:val="28"/>
        </w:rPr>
      </w:pPr>
    </w:p>
    <w:p>
      <w:pPr>
        <w:spacing w:line="360" w:lineRule="auto"/>
        <w:ind w:firstLine="540"/>
        <w:jc w:val="left"/>
        <w:rPr>
          <w:sz w:val="28"/>
          <w:szCs w:val="28"/>
        </w:rPr>
      </w:pPr>
    </w:p>
    <w:p>
      <w:pPr>
        <w:spacing w:line="360" w:lineRule="auto"/>
        <w:ind w:firstLine="540"/>
        <w:jc w:val="left"/>
        <w:rPr>
          <w:sz w:val="28"/>
          <w:szCs w:val="28"/>
        </w:rPr>
      </w:pPr>
    </w:p>
    <w:p>
      <w:pPr>
        <w:spacing w:line="360" w:lineRule="auto"/>
        <w:ind w:firstLine="540"/>
        <w:jc w:val="left"/>
        <w:rPr>
          <w:sz w:val="28"/>
          <w:szCs w:val="28"/>
        </w:rPr>
      </w:pPr>
    </w:p>
    <w:p>
      <w:pPr>
        <w:spacing w:line="360" w:lineRule="auto"/>
        <w:ind w:left="4865" w:leftChars="50" w:hanging="4760" w:hangingChars="1700"/>
        <w:jc w:val="left"/>
        <w:rPr>
          <w:sz w:val="28"/>
          <w:szCs w:val="28"/>
        </w:rPr>
      </w:pPr>
    </w:p>
    <w:p>
      <w:pPr>
        <w:spacing w:line="360" w:lineRule="auto"/>
        <w:ind w:firstLine="5180" w:firstLineChars="1850"/>
        <w:jc w:val="left"/>
        <w:rPr>
          <w:sz w:val="28"/>
          <w:szCs w:val="28"/>
        </w:rPr>
      </w:pPr>
    </w:p>
    <w:p>
      <w:pPr>
        <w:spacing w:line="360" w:lineRule="auto"/>
        <w:ind w:firstLine="5180" w:firstLineChars="1850"/>
        <w:jc w:val="left"/>
        <w:rPr>
          <w:sz w:val="28"/>
          <w:szCs w:val="28"/>
        </w:rPr>
      </w:pPr>
    </w:p>
    <w:p>
      <w:pPr>
        <w:spacing w:line="360" w:lineRule="auto"/>
        <w:jc w:val="right"/>
        <w:rPr>
          <w:rFonts w:hint="eastAsia" w:eastAsiaTheme="minorEastAsia"/>
          <w:sz w:val="28"/>
          <w:szCs w:val="28"/>
          <w:lang w:eastAsia="zh-CN"/>
        </w:rPr>
      </w:pPr>
      <w:r>
        <w:rPr>
          <w:rFonts w:hint="eastAsia"/>
          <w:sz w:val="28"/>
          <w:szCs w:val="28"/>
          <w:lang w:eastAsia="zh-CN"/>
        </w:rPr>
        <w:t>山东新中鲁中医医院有限公司</w:t>
      </w:r>
    </w:p>
    <w:p>
      <w:pPr>
        <w:spacing w:line="360" w:lineRule="auto"/>
        <w:ind w:firstLine="5600" w:firstLineChars="2000"/>
        <w:jc w:val="right"/>
        <w:rPr>
          <w:sz w:val="28"/>
          <w:szCs w:val="28"/>
          <w:highlight w:val="none"/>
        </w:rPr>
      </w:pPr>
      <w:r>
        <w:rPr>
          <w:rFonts w:hint="eastAsia"/>
          <w:sz w:val="28"/>
          <w:szCs w:val="28"/>
          <w:highlight w:val="none"/>
        </w:rPr>
        <w:t>二零二二年十</w:t>
      </w:r>
      <w:r>
        <w:rPr>
          <w:rFonts w:hint="eastAsia"/>
          <w:sz w:val="28"/>
          <w:szCs w:val="28"/>
          <w:highlight w:val="none"/>
          <w:lang w:eastAsia="zh-CN"/>
        </w:rPr>
        <w:t>二</w:t>
      </w:r>
      <w:r>
        <w:rPr>
          <w:rFonts w:hint="eastAsia"/>
          <w:sz w:val="28"/>
          <w:szCs w:val="28"/>
          <w:highlight w:val="none"/>
        </w:rPr>
        <w:t>月</w:t>
      </w:r>
    </w:p>
    <w:p>
      <w:pPr>
        <w:jc w:val="left"/>
        <w:rPr>
          <w:rFonts w:ascii="Times New Roman" w:hAnsi="Times New Roman" w:cs="Times New Roman"/>
          <w:b/>
          <w:spacing w:val="6"/>
          <w:sz w:val="28"/>
          <w:szCs w:val="28"/>
        </w:rPr>
      </w:pPr>
    </w:p>
    <w:p>
      <w:pPr>
        <w:jc w:val="center"/>
        <w:rPr>
          <w:rFonts w:ascii="Times New Roman" w:hAnsi="Times New Roman" w:cs="Times New Roman"/>
          <w:b/>
          <w:sz w:val="44"/>
          <w:szCs w:val="44"/>
        </w:rPr>
      </w:pPr>
    </w:p>
    <w:p>
      <w:pPr>
        <w:pStyle w:val="4"/>
        <w:spacing w:before="0" w:after="0" w:line="360" w:lineRule="auto"/>
        <w:jc w:val="left"/>
        <w:rPr>
          <w:rFonts w:ascii="Times New Roman" w:hAnsi="Times New Roman" w:cs="Times New Roman"/>
          <w:sz w:val="28"/>
          <w:szCs w:val="28"/>
        </w:rPr>
      </w:pPr>
      <w:r>
        <w:rPr>
          <w:rFonts w:ascii="Times New Roman" w:hAnsi="Times New Roman" w:cs="Times New Roman"/>
          <w:sz w:val="28"/>
          <w:szCs w:val="28"/>
        </w:rPr>
        <w:t>附件</w:t>
      </w:r>
      <w:r>
        <w:rPr>
          <w:rFonts w:hint="eastAsia" w:ascii="Times New Roman" w:hAnsi="Times New Roman" w:cs="Times New Roman"/>
          <w:sz w:val="28"/>
          <w:szCs w:val="28"/>
        </w:rPr>
        <w:t>4排污许可</w:t>
      </w:r>
    </w:p>
    <w:p>
      <w:pPr>
        <w:pStyle w:val="2"/>
        <w:jc w:val="center"/>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5753100" cy="8138160"/>
            <wp:effectExtent l="0" t="0" r="0" b="15240"/>
            <wp:docPr id="18" name="图片 18" descr="登记回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登记回执"/>
                    <pic:cNvPicPr>
                      <a:picLocks noChangeAspect="1"/>
                    </pic:cNvPicPr>
                  </pic:nvPicPr>
                  <pic:blipFill>
                    <a:blip r:embed="rId29"/>
                    <a:stretch>
                      <a:fillRect/>
                    </a:stretch>
                  </pic:blipFill>
                  <pic:spPr>
                    <a:xfrm>
                      <a:off x="0" y="0"/>
                      <a:ext cx="5753100" cy="8138160"/>
                    </a:xfrm>
                    <a:prstGeom prst="rect">
                      <a:avLst/>
                    </a:prstGeom>
                  </pic:spPr>
                </pic:pic>
              </a:graphicData>
            </a:graphic>
          </wp:inline>
        </w:drawing>
      </w:r>
    </w:p>
    <w:p>
      <w:pPr>
        <w:pStyle w:val="4"/>
        <w:spacing w:before="0" w:after="0" w:line="360" w:lineRule="auto"/>
        <w:jc w:val="left"/>
        <w:rPr>
          <w:rFonts w:hint="eastAsia" w:ascii="Times New Roman" w:hAnsi="Times New Roman" w:cs="Times New Roman" w:eastAsiaTheme="minorEastAsia"/>
          <w:sz w:val="28"/>
          <w:szCs w:val="28"/>
          <w:lang w:eastAsia="zh-CN"/>
        </w:rPr>
      </w:pPr>
      <w:r>
        <w:rPr>
          <w:rFonts w:ascii="Times New Roman" w:hAnsi="Times New Roman" w:cs="Times New Roman"/>
          <w:sz w:val="28"/>
          <w:szCs w:val="28"/>
        </w:rPr>
        <w:t>附件</w:t>
      </w:r>
      <w:r>
        <w:rPr>
          <w:rFonts w:hint="eastAsia" w:ascii="Times New Roman" w:hAnsi="Times New Roman" w:cs="Times New Roman"/>
          <w:sz w:val="28"/>
          <w:szCs w:val="28"/>
        </w:rPr>
        <w:t>5危废合同</w:t>
      </w:r>
      <w:r>
        <w:rPr>
          <w:rFonts w:hint="eastAsia" w:ascii="Times New Roman" w:hAnsi="Times New Roman" w:cs="Times New Roman"/>
          <w:sz w:val="28"/>
          <w:szCs w:val="28"/>
          <w:lang w:eastAsia="zh-CN"/>
        </w:rPr>
        <w:t>（医疗废物和其他危废）</w:t>
      </w:r>
    </w:p>
    <w:p>
      <w:r>
        <w:rPr>
          <w:rFonts w:hint="eastAsia"/>
          <w:lang w:eastAsia="zh-CN"/>
        </w:rPr>
        <w:drawing>
          <wp:inline distT="0" distB="0" distL="114300" distR="114300">
            <wp:extent cx="4152265" cy="5876290"/>
            <wp:effectExtent l="0" t="0" r="10160" b="635"/>
            <wp:docPr id="24" name="图片 24" descr="许可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许可证(2)"/>
                    <pic:cNvPicPr>
                      <a:picLocks noChangeAspect="1"/>
                    </pic:cNvPicPr>
                  </pic:nvPicPr>
                  <pic:blipFill>
                    <a:blip r:embed="rId30"/>
                    <a:stretch>
                      <a:fillRect/>
                    </a:stretch>
                  </pic:blipFill>
                  <pic:spPr>
                    <a:xfrm rot="16200000">
                      <a:off x="0" y="0"/>
                      <a:ext cx="4152265" cy="5876290"/>
                    </a:xfrm>
                    <a:prstGeom prst="rect">
                      <a:avLst/>
                    </a:prstGeom>
                  </pic:spPr>
                </pic:pic>
              </a:graphicData>
            </a:graphic>
          </wp:inline>
        </w:drawing>
      </w:r>
      <w:r>
        <w:drawing>
          <wp:inline distT="0" distB="0" distL="114300" distR="114300">
            <wp:extent cx="3591560" cy="6049010"/>
            <wp:effectExtent l="0" t="0" r="8890" b="8890"/>
            <wp:docPr id="2" name="图片 2" descr="资质中再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资质中再生"/>
                    <pic:cNvPicPr>
                      <a:picLocks noChangeAspect="1"/>
                    </pic:cNvPicPr>
                  </pic:nvPicPr>
                  <pic:blipFill>
                    <a:blip r:embed="rId31"/>
                    <a:srcRect l="13495" t="2755" r="14112" b="11191"/>
                    <a:stretch>
                      <a:fillRect/>
                    </a:stretch>
                  </pic:blipFill>
                  <pic:spPr>
                    <a:xfrm rot="5400000">
                      <a:off x="0" y="0"/>
                      <a:ext cx="3591560" cy="6049010"/>
                    </a:xfrm>
                    <a:prstGeom prst="rect">
                      <a:avLst/>
                    </a:prstGeom>
                  </pic:spPr>
                </pic:pic>
              </a:graphicData>
            </a:graphic>
          </wp:inline>
        </w:drawing>
      </w:r>
    </w:p>
    <w:p>
      <w:pPr>
        <w:rPr>
          <w:sz w:val="28"/>
          <w:szCs w:val="28"/>
        </w:rPr>
      </w:pPr>
      <w:r>
        <w:rPr>
          <w:rFonts w:hint="eastAsia" w:eastAsia="宋体"/>
          <w:lang w:eastAsia="zh-CN"/>
        </w:rPr>
        <w:drawing>
          <wp:inline distT="0" distB="0" distL="114300" distR="114300">
            <wp:extent cx="6213475" cy="8282305"/>
            <wp:effectExtent l="0" t="0" r="15875" b="4445"/>
            <wp:docPr id="21" name="图片 3" descr="3d478cff2a02e8e1e1dc77e9a74e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3d478cff2a02e8e1e1dc77e9a74e758"/>
                    <pic:cNvPicPr>
                      <a:picLocks noChangeAspect="1"/>
                    </pic:cNvPicPr>
                  </pic:nvPicPr>
                  <pic:blipFill>
                    <a:blip r:embed="rId32"/>
                    <a:stretch>
                      <a:fillRect/>
                    </a:stretch>
                  </pic:blipFill>
                  <pic:spPr>
                    <a:xfrm>
                      <a:off x="0" y="0"/>
                      <a:ext cx="6213475" cy="8282305"/>
                    </a:xfrm>
                    <a:prstGeom prst="rect">
                      <a:avLst/>
                    </a:prstGeom>
                    <a:noFill/>
                    <a:ln>
                      <a:noFill/>
                    </a:ln>
                  </pic:spPr>
                </pic:pic>
              </a:graphicData>
            </a:graphic>
          </wp:inline>
        </w:drawing>
      </w:r>
      <w:r>
        <w:rPr>
          <w:rFonts w:hint="eastAsia" w:eastAsia="宋体"/>
          <w:lang w:eastAsia="zh-CN"/>
        </w:rPr>
        <w:drawing>
          <wp:inline distT="0" distB="0" distL="114300" distR="114300">
            <wp:extent cx="6306820" cy="8406765"/>
            <wp:effectExtent l="0" t="0" r="17780" b="13335"/>
            <wp:docPr id="19" name="图片 4" descr="12ff7339c6b707b5d9bd5dc490de3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12ff7339c6b707b5d9bd5dc490de3b5"/>
                    <pic:cNvPicPr>
                      <a:picLocks noChangeAspect="1"/>
                    </pic:cNvPicPr>
                  </pic:nvPicPr>
                  <pic:blipFill>
                    <a:blip r:embed="rId33"/>
                    <a:stretch>
                      <a:fillRect/>
                    </a:stretch>
                  </pic:blipFill>
                  <pic:spPr>
                    <a:xfrm>
                      <a:off x="0" y="0"/>
                      <a:ext cx="6306820" cy="8406765"/>
                    </a:xfrm>
                    <a:prstGeom prst="rect">
                      <a:avLst/>
                    </a:prstGeom>
                    <a:noFill/>
                    <a:ln>
                      <a:noFill/>
                    </a:ln>
                  </pic:spPr>
                </pic:pic>
              </a:graphicData>
            </a:graphic>
          </wp:inline>
        </w:drawing>
      </w:r>
      <w:r>
        <w:rPr>
          <w:rFonts w:hint="eastAsia" w:eastAsia="宋体"/>
          <w:lang w:eastAsia="zh-CN"/>
        </w:rPr>
        <w:drawing>
          <wp:inline distT="0" distB="0" distL="114300" distR="114300">
            <wp:extent cx="6182995" cy="8241665"/>
            <wp:effectExtent l="0" t="0" r="8255" b="6985"/>
            <wp:docPr id="20" name="图片 5" descr="6c1813d8ad1ce07ab4919382ebec1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6c1813d8ad1ce07ab4919382ebec1ed"/>
                    <pic:cNvPicPr>
                      <a:picLocks noChangeAspect="1"/>
                    </pic:cNvPicPr>
                  </pic:nvPicPr>
                  <pic:blipFill>
                    <a:blip r:embed="rId34"/>
                    <a:stretch>
                      <a:fillRect/>
                    </a:stretch>
                  </pic:blipFill>
                  <pic:spPr>
                    <a:xfrm>
                      <a:off x="0" y="0"/>
                      <a:ext cx="6182995" cy="8241665"/>
                    </a:xfrm>
                    <a:prstGeom prst="rect">
                      <a:avLst/>
                    </a:prstGeom>
                    <a:noFill/>
                    <a:ln>
                      <a:noFill/>
                    </a:ln>
                  </pic:spPr>
                </pic:pic>
              </a:graphicData>
            </a:graphic>
          </wp:inline>
        </w:drawing>
      </w:r>
      <w:r>
        <w:rPr>
          <w:rFonts w:hint="eastAsia" w:eastAsia="宋体"/>
          <w:lang w:eastAsia="zh-CN"/>
        </w:rPr>
        <w:drawing>
          <wp:inline distT="0" distB="0" distL="114300" distR="114300">
            <wp:extent cx="6431280" cy="8572500"/>
            <wp:effectExtent l="0" t="0" r="7620" b="0"/>
            <wp:docPr id="22" name="图片 6" descr="944fdb1d5f95c5d4e25f60b306500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944fdb1d5f95c5d4e25f60b306500be"/>
                    <pic:cNvPicPr>
                      <a:picLocks noChangeAspect="1"/>
                    </pic:cNvPicPr>
                  </pic:nvPicPr>
                  <pic:blipFill>
                    <a:blip r:embed="rId35"/>
                    <a:stretch>
                      <a:fillRect/>
                    </a:stretch>
                  </pic:blipFill>
                  <pic:spPr>
                    <a:xfrm>
                      <a:off x="0" y="0"/>
                      <a:ext cx="6431280" cy="8572500"/>
                    </a:xfrm>
                    <a:prstGeom prst="rect">
                      <a:avLst/>
                    </a:prstGeom>
                    <a:noFill/>
                    <a:ln>
                      <a:noFill/>
                    </a:ln>
                  </pic:spPr>
                </pic:pic>
              </a:graphicData>
            </a:graphic>
          </wp:inline>
        </w:drawing>
      </w:r>
    </w:p>
    <w:sectPr>
      <w:headerReference r:id="rId8" w:type="default"/>
      <w:pgSz w:w="11907" w:h="16839"/>
      <w:pgMar w:top="1440" w:right="1418" w:bottom="1440" w:left="1418" w:header="851" w:footer="992" w:gutter="0"/>
      <w:pgBorders>
        <w:top w:val="none" w:sz="0" w:space="0"/>
        <w:left w:val="none" w:sz="0" w:space="0"/>
        <w:bottom w:val="none" w:sz="0" w:space="0"/>
        <w:right w:val="none" w:sz="0" w:space="0"/>
      </w:pgBorders>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FangSong_GB2312">
    <w:altName w:val="仿宋"/>
    <w:panose1 w:val="02010609060101010101"/>
    <w:charset w:val="86"/>
    <w:family w:val="modern"/>
    <w:pitch w:val="default"/>
    <w:sig w:usb0="00000000" w:usb1="00000000" w:usb2="00000016" w:usb3="00000000" w:csb0="0004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KaiTi_GB2312">
    <w:altName w:val="楷体"/>
    <w:panose1 w:val="02010609060101010101"/>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10205"/>
        <w:tab w:val="clear" w:pos="4153"/>
        <w:tab w:val="clear" w:pos="8306"/>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10205"/>
        <w:tab w:val="clear" w:pos="4153"/>
        <w:tab w:val="clear" w:pos="8306"/>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10205"/>
        <w:tab w:val="clear" w:pos="4153"/>
        <w:tab w:val="clear" w:pos="8306"/>
      </w:tabs>
      <w:ind w:left="7020" w:hanging="7020" w:hangingChars="3900"/>
      <w:jc w:val="left"/>
      <w:rPr>
        <w:rFonts w:ascii="Times New Roman" w:hAnsi="Times New Roman" w:cs="Times New Roman"/>
      </w:rPr>
    </w:pPr>
    <w:r>
      <w:rPr>
        <w:rFonts w:hint="eastAsia" w:ascii="Times New Roman" w:cs="Times New Roman"/>
        <w:lang w:eastAsia="zh-CN"/>
      </w:rPr>
      <w:t>山东新中鲁中医医院有限公司新建中医医院项目</w:t>
    </w:r>
    <w:r>
      <w:rPr>
        <w:rFonts w:hint="eastAsia" w:ascii="Times New Roman" w:cs="Times New Roman"/>
      </w:rPr>
      <w:t xml:space="preserve">验收监测报告 </w:t>
    </w:r>
    <w:r>
      <w:rPr>
        <w:rFonts w:hint="eastAsia" w:ascii="Times New Roman" w:cs="Times New Roman"/>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10205"/>
        <w:tab w:val="clear" w:pos="4153"/>
        <w:tab w:val="clear" w:pos="8306"/>
      </w:tabs>
      <w:jc w:val="left"/>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right" w:pos="10205"/>
        <w:tab w:val="clear" w:pos="4153"/>
        <w:tab w:val="clear" w:pos="8306"/>
      </w:tabs>
      <w:jc w:val="lef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EBFB8"/>
    <w:multiLevelType w:val="singleLevel"/>
    <w:tmpl w:val="838EBFB8"/>
    <w:lvl w:ilvl="0" w:tentative="0">
      <w:start w:val="1"/>
      <w:numFmt w:val="chineseCounting"/>
      <w:suff w:val="nothing"/>
      <w:lvlText w:val="%1、"/>
      <w:lvlJc w:val="left"/>
      <w:rPr>
        <w:rFonts w:hint="eastAsia"/>
      </w:rPr>
    </w:lvl>
  </w:abstractNum>
  <w:abstractNum w:abstractNumId="1">
    <w:nsid w:val="A8363BA0"/>
    <w:multiLevelType w:val="singleLevel"/>
    <w:tmpl w:val="A8363BA0"/>
    <w:lvl w:ilvl="0" w:tentative="0">
      <w:start w:val="6"/>
      <w:numFmt w:val="chineseCounting"/>
      <w:suff w:val="nothing"/>
      <w:lvlText w:val="%1、"/>
      <w:lvlJc w:val="left"/>
      <w:rPr>
        <w:rFonts w:hint="eastAsia"/>
      </w:rPr>
    </w:lvl>
  </w:abstractNum>
  <w:abstractNum w:abstractNumId="2">
    <w:nsid w:val="1FF9C834"/>
    <w:multiLevelType w:val="singleLevel"/>
    <w:tmpl w:val="1FF9C834"/>
    <w:lvl w:ilvl="0" w:tentative="0">
      <w:start w:val="1"/>
      <w:numFmt w:val="chineseCounting"/>
      <w:suff w:val="nothing"/>
      <w:lvlText w:val="%1、"/>
      <w:lvlJc w:val="left"/>
      <w:rPr>
        <w:rFonts w:hint="eastAsia"/>
      </w:rPr>
    </w:lvl>
  </w:abstractNum>
  <w:abstractNum w:abstractNumId="3">
    <w:nsid w:val="21BF3EC9"/>
    <w:multiLevelType w:val="singleLevel"/>
    <w:tmpl w:val="21BF3EC9"/>
    <w:lvl w:ilvl="0" w:tentative="0">
      <w:start w:val="2"/>
      <w:numFmt w:val="chineseCounting"/>
      <w:suff w:val="nothing"/>
      <w:lvlText w:val="%1、"/>
      <w:lvlJc w:val="left"/>
      <w:rPr>
        <w:rFonts w:hint="eastAsia"/>
      </w:rPr>
    </w:lvl>
  </w:abstractNum>
  <w:abstractNum w:abstractNumId="4">
    <w:nsid w:val="5E932715"/>
    <w:multiLevelType w:val="singleLevel"/>
    <w:tmpl w:val="5E932715"/>
    <w:lvl w:ilvl="0" w:tentative="0">
      <w:start w:val="1"/>
      <w:numFmt w:val="chineseCounting"/>
      <w:suff w:val="nothing"/>
      <w:lvlText w:val="%1、"/>
      <w:lvlJc w:val="left"/>
      <w:rPr>
        <w:rFonts w:hint="eastAsia"/>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iOWQ5MDNhMjhmNzYwNzA0YmY3ZjVkOTkwNjUyZWIifQ=="/>
    <w:docVar w:name="KSO_WPS_MARK_KEY" w:val="15b3cfb1-9e1e-429e-a0bf-8ec3d0d4f080"/>
  </w:docVars>
  <w:rsids>
    <w:rsidRoot w:val="00570744"/>
    <w:rsid w:val="0000193A"/>
    <w:rsid w:val="00002F86"/>
    <w:rsid w:val="00003DB2"/>
    <w:rsid w:val="00003E72"/>
    <w:rsid w:val="000044A5"/>
    <w:rsid w:val="000055FA"/>
    <w:rsid w:val="0000643E"/>
    <w:rsid w:val="0000665D"/>
    <w:rsid w:val="00006D24"/>
    <w:rsid w:val="0000760A"/>
    <w:rsid w:val="00010145"/>
    <w:rsid w:val="0001072E"/>
    <w:rsid w:val="00010771"/>
    <w:rsid w:val="00010922"/>
    <w:rsid w:val="00011226"/>
    <w:rsid w:val="000119CD"/>
    <w:rsid w:val="00011A7D"/>
    <w:rsid w:val="00011AB6"/>
    <w:rsid w:val="00012E72"/>
    <w:rsid w:val="00015232"/>
    <w:rsid w:val="000163A4"/>
    <w:rsid w:val="00016C1A"/>
    <w:rsid w:val="0001727C"/>
    <w:rsid w:val="00020082"/>
    <w:rsid w:val="00020933"/>
    <w:rsid w:val="00020CE9"/>
    <w:rsid w:val="00021A70"/>
    <w:rsid w:val="00021FD7"/>
    <w:rsid w:val="000233D4"/>
    <w:rsid w:val="00023805"/>
    <w:rsid w:val="00024476"/>
    <w:rsid w:val="00024EB2"/>
    <w:rsid w:val="00025043"/>
    <w:rsid w:val="00026163"/>
    <w:rsid w:val="00026EF0"/>
    <w:rsid w:val="000274ED"/>
    <w:rsid w:val="00030203"/>
    <w:rsid w:val="0003126B"/>
    <w:rsid w:val="00031ABC"/>
    <w:rsid w:val="00031CA3"/>
    <w:rsid w:val="00032718"/>
    <w:rsid w:val="00033211"/>
    <w:rsid w:val="000357C1"/>
    <w:rsid w:val="0003701B"/>
    <w:rsid w:val="000373E5"/>
    <w:rsid w:val="00040724"/>
    <w:rsid w:val="000412C7"/>
    <w:rsid w:val="000421EF"/>
    <w:rsid w:val="0004225C"/>
    <w:rsid w:val="00042686"/>
    <w:rsid w:val="00042A2C"/>
    <w:rsid w:val="000444D3"/>
    <w:rsid w:val="00044861"/>
    <w:rsid w:val="00046A48"/>
    <w:rsid w:val="00046DA4"/>
    <w:rsid w:val="00047724"/>
    <w:rsid w:val="00051C48"/>
    <w:rsid w:val="00052B73"/>
    <w:rsid w:val="00052C1C"/>
    <w:rsid w:val="000544ED"/>
    <w:rsid w:val="00054681"/>
    <w:rsid w:val="00055121"/>
    <w:rsid w:val="0006057F"/>
    <w:rsid w:val="000609B6"/>
    <w:rsid w:val="00060BF4"/>
    <w:rsid w:val="000628B0"/>
    <w:rsid w:val="00062B99"/>
    <w:rsid w:val="00062C25"/>
    <w:rsid w:val="00062F68"/>
    <w:rsid w:val="00063416"/>
    <w:rsid w:val="0006376E"/>
    <w:rsid w:val="00064432"/>
    <w:rsid w:val="0006641F"/>
    <w:rsid w:val="00066B39"/>
    <w:rsid w:val="000670E2"/>
    <w:rsid w:val="000675E0"/>
    <w:rsid w:val="00070601"/>
    <w:rsid w:val="000714BD"/>
    <w:rsid w:val="0007189B"/>
    <w:rsid w:val="000720B3"/>
    <w:rsid w:val="00072CB5"/>
    <w:rsid w:val="0007440D"/>
    <w:rsid w:val="000751DF"/>
    <w:rsid w:val="00075D85"/>
    <w:rsid w:val="000770CE"/>
    <w:rsid w:val="00080418"/>
    <w:rsid w:val="00080C2C"/>
    <w:rsid w:val="00082315"/>
    <w:rsid w:val="00083900"/>
    <w:rsid w:val="000843F0"/>
    <w:rsid w:val="00084F3D"/>
    <w:rsid w:val="0008798B"/>
    <w:rsid w:val="0009003F"/>
    <w:rsid w:val="000902E4"/>
    <w:rsid w:val="000911E4"/>
    <w:rsid w:val="00091616"/>
    <w:rsid w:val="000919F0"/>
    <w:rsid w:val="00092352"/>
    <w:rsid w:val="00092B2A"/>
    <w:rsid w:val="00093783"/>
    <w:rsid w:val="00094223"/>
    <w:rsid w:val="00095C4E"/>
    <w:rsid w:val="00097A42"/>
    <w:rsid w:val="000A11F3"/>
    <w:rsid w:val="000A2028"/>
    <w:rsid w:val="000A2412"/>
    <w:rsid w:val="000A31CE"/>
    <w:rsid w:val="000A36C6"/>
    <w:rsid w:val="000A37DF"/>
    <w:rsid w:val="000A428C"/>
    <w:rsid w:val="000A6C25"/>
    <w:rsid w:val="000A6F57"/>
    <w:rsid w:val="000A7937"/>
    <w:rsid w:val="000B1F6D"/>
    <w:rsid w:val="000B2087"/>
    <w:rsid w:val="000B26BF"/>
    <w:rsid w:val="000B2844"/>
    <w:rsid w:val="000B2DB1"/>
    <w:rsid w:val="000B3689"/>
    <w:rsid w:val="000B3851"/>
    <w:rsid w:val="000B45EA"/>
    <w:rsid w:val="000B51DA"/>
    <w:rsid w:val="000B7D8A"/>
    <w:rsid w:val="000C0124"/>
    <w:rsid w:val="000C0A5B"/>
    <w:rsid w:val="000C17FC"/>
    <w:rsid w:val="000C1DE4"/>
    <w:rsid w:val="000C1F05"/>
    <w:rsid w:val="000C3431"/>
    <w:rsid w:val="000C3668"/>
    <w:rsid w:val="000C36AE"/>
    <w:rsid w:val="000C3ADD"/>
    <w:rsid w:val="000C405F"/>
    <w:rsid w:val="000C4B67"/>
    <w:rsid w:val="000C4DEE"/>
    <w:rsid w:val="000C4F51"/>
    <w:rsid w:val="000C5C92"/>
    <w:rsid w:val="000C5FF9"/>
    <w:rsid w:val="000C6661"/>
    <w:rsid w:val="000C7383"/>
    <w:rsid w:val="000D1985"/>
    <w:rsid w:val="000D20A4"/>
    <w:rsid w:val="000D43F2"/>
    <w:rsid w:val="000D4A7E"/>
    <w:rsid w:val="000D4DD1"/>
    <w:rsid w:val="000D5403"/>
    <w:rsid w:val="000D571F"/>
    <w:rsid w:val="000D75A5"/>
    <w:rsid w:val="000D7C0D"/>
    <w:rsid w:val="000E1247"/>
    <w:rsid w:val="000E1434"/>
    <w:rsid w:val="000E34B7"/>
    <w:rsid w:val="000E5945"/>
    <w:rsid w:val="000F0080"/>
    <w:rsid w:val="000F257B"/>
    <w:rsid w:val="000F2805"/>
    <w:rsid w:val="000F2AFE"/>
    <w:rsid w:val="000F30CC"/>
    <w:rsid w:val="000F5AE1"/>
    <w:rsid w:val="000F5E9E"/>
    <w:rsid w:val="001018DF"/>
    <w:rsid w:val="00102278"/>
    <w:rsid w:val="00103DC3"/>
    <w:rsid w:val="00104546"/>
    <w:rsid w:val="00105791"/>
    <w:rsid w:val="001071E0"/>
    <w:rsid w:val="00107C00"/>
    <w:rsid w:val="001106C5"/>
    <w:rsid w:val="00111A62"/>
    <w:rsid w:val="00112C96"/>
    <w:rsid w:val="0011406E"/>
    <w:rsid w:val="00114465"/>
    <w:rsid w:val="00114CAC"/>
    <w:rsid w:val="00114CAE"/>
    <w:rsid w:val="00115303"/>
    <w:rsid w:val="001157C1"/>
    <w:rsid w:val="0011621C"/>
    <w:rsid w:val="00116E57"/>
    <w:rsid w:val="00117C2B"/>
    <w:rsid w:val="00121DC5"/>
    <w:rsid w:val="00122405"/>
    <w:rsid w:val="001224D8"/>
    <w:rsid w:val="00122EA8"/>
    <w:rsid w:val="00123B43"/>
    <w:rsid w:val="00124F8E"/>
    <w:rsid w:val="001251D5"/>
    <w:rsid w:val="00125789"/>
    <w:rsid w:val="00126981"/>
    <w:rsid w:val="00126AC2"/>
    <w:rsid w:val="00127BF5"/>
    <w:rsid w:val="00130834"/>
    <w:rsid w:val="00130B63"/>
    <w:rsid w:val="00131378"/>
    <w:rsid w:val="00134DDF"/>
    <w:rsid w:val="00137A13"/>
    <w:rsid w:val="0014018C"/>
    <w:rsid w:val="00140CC4"/>
    <w:rsid w:val="00141819"/>
    <w:rsid w:val="00141A6A"/>
    <w:rsid w:val="00141D86"/>
    <w:rsid w:val="00142063"/>
    <w:rsid w:val="001437B7"/>
    <w:rsid w:val="00144A7C"/>
    <w:rsid w:val="001455AE"/>
    <w:rsid w:val="001476C0"/>
    <w:rsid w:val="00147A7E"/>
    <w:rsid w:val="00150C2E"/>
    <w:rsid w:val="00151A64"/>
    <w:rsid w:val="00151A6B"/>
    <w:rsid w:val="00154E61"/>
    <w:rsid w:val="0016119A"/>
    <w:rsid w:val="00161985"/>
    <w:rsid w:val="00161A0A"/>
    <w:rsid w:val="00161FAB"/>
    <w:rsid w:val="00162279"/>
    <w:rsid w:val="001623BC"/>
    <w:rsid w:val="0016370F"/>
    <w:rsid w:val="001642B9"/>
    <w:rsid w:val="00164390"/>
    <w:rsid w:val="001661D2"/>
    <w:rsid w:val="00167E2D"/>
    <w:rsid w:val="00167E77"/>
    <w:rsid w:val="001718A5"/>
    <w:rsid w:val="00171CCA"/>
    <w:rsid w:val="001730BA"/>
    <w:rsid w:val="00173274"/>
    <w:rsid w:val="00173B22"/>
    <w:rsid w:val="0017477D"/>
    <w:rsid w:val="001751BE"/>
    <w:rsid w:val="0017638C"/>
    <w:rsid w:val="0018014A"/>
    <w:rsid w:val="00182A45"/>
    <w:rsid w:val="0018342C"/>
    <w:rsid w:val="001852E6"/>
    <w:rsid w:val="001861FC"/>
    <w:rsid w:val="0018639B"/>
    <w:rsid w:val="001868E6"/>
    <w:rsid w:val="00186DEC"/>
    <w:rsid w:val="001870EE"/>
    <w:rsid w:val="001874B9"/>
    <w:rsid w:val="001915EC"/>
    <w:rsid w:val="001921EF"/>
    <w:rsid w:val="00193465"/>
    <w:rsid w:val="00194155"/>
    <w:rsid w:val="00194448"/>
    <w:rsid w:val="00194891"/>
    <w:rsid w:val="00195426"/>
    <w:rsid w:val="00195766"/>
    <w:rsid w:val="00196632"/>
    <w:rsid w:val="0019759A"/>
    <w:rsid w:val="00197FCE"/>
    <w:rsid w:val="001A06D7"/>
    <w:rsid w:val="001A1027"/>
    <w:rsid w:val="001A1B53"/>
    <w:rsid w:val="001A2E16"/>
    <w:rsid w:val="001A2E49"/>
    <w:rsid w:val="001A3BE6"/>
    <w:rsid w:val="001A7779"/>
    <w:rsid w:val="001A7B61"/>
    <w:rsid w:val="001B0089"/>
    <w:rsid w:val="001B1162"/>
    <w:rsid w:val="001B17BC"/>
    <w:rsid w:val="001B3D38"/>
    <w:rsid w:val="001B3F59"/>
    <w:rsid w:val="001B49BD"/>
    <w:rsid w:val="001B5F8A"/>
    <w:rsid w:val="001B6B14"/>
    <w:rsid w:val="001B7BAC"/>
    <w:rsid w:val="001C0B08"/>
    <w:rsid w:val="001C1967"/>
    <w:rsid w:val="001C1A78"/>
    <w:rsid w:val="001C1D90"/>
    <w:rsid w:val="001C1F3B"/>
    <w:rsid w:val="001C21AE"/>
    <w:rsid w:val="001C2791"/>
    <w:rsid w:val="001C3404"/>
    <w:rsid w:val="001C4527"/>
    <w:rsid w:val="001C481F"/>
    <w:rsid w:val="001C559B"/>
    <w:rsid w:val="001C55FE"/>
    <w:rsid w:val="001C5CC2"/>
    <w:rsid w:val="001C7223"/>
    <w:rsid w:val="001C72C8"/>
    <w:rsid w:val="001C77FB"/>
    <w:rsid w:val="001C7D0A"/>
    <w:rsid w:val="001C7DD8"/>
    <w:rsid w:val="001D0E98"/>
    <w:rsid w:val="001D1418"/>
    <w:rsid w:val="001D1FEE"/>
    <w:rsid w:val="001D3C87"/>
    <w:rsid w:val="001D43B4"/>
    <w:rsid w:val="001D4967"/>
    <w:rsid w:val="001D4B16"/>
    <w:rsid w:val="001D558B"/>
    <w:rsid w:val="001D5D43"/>
    <w:rsid w:val="001D6BA1"/>
    <w:rsid w:val="001D7B44"/>
    <w:rsid w:val="001D7C73"/>
    <w:rsid w:val="001E0E54"/>
    <w:rsid w:val="001E217D"/>
    <w:rsid w:val="001E39AB"/>
    <w:rsid w:val="001E56EC"/>
    <w:rsid w:val="001F00F0"/>
    <w:rsid w:val="001F10BB"/>
    <w:rsid w:val="001F1BDF"/>
    <w:rsid w:val="001F28C6"/>
    <w:rsid w:val="001F5350"/>
    <w:rsid w:val="002002A9"/>
    <w:rsid w:val="002005EB"/>
    <w:rsid w:val="00201944"/>
    <w:rsid w:val="00202F43"/>
    <w:rsid w:val="002037EC"/>
    <w:rsid w:val="00203832"/>
    <w:rsid w:val="00204021"/>
    <w:rsid w:val="00205F7B"/>
    <w:rsid w:val="002075A9"/>
    <w:rsid w:val="00210904"/>
    <w:rsid w:val="00210A0D"/>
    <w:rsid w:val="00213895"/>
    <w:rsid w:val="002142EE"/>
    <w:rsid w:val="002147BC"/>
    <w:rsid w:val="00215EFF"/>
    <w:rsid w:val="00220254"/>
    <w:rsid w:val="002223CD"/>
    <w:rsid w:val="00224333"/>
    <w:rsid w:val="00224578"/>
    <w:rsid w:val="00225AFF"/>
    <w:rsid w:val="0022616F"/>
    <w:rsid w:val="00226571"/>
    <w:rsid w:val="00226AB3"/>
    <w:rsid w:val="002349C1"/>
    <w:rsid w:val="00234AB7"/>
    <w:rsid w:val="0023635C"/>
    <w:rsid w:val="00237725"/>
    <w:rsid w:val="002416BC"/>
    <w:rsid w:val="002420AC"/>
    <w:rsid w:val="002422C1"/>
    <w:rsid w:val="00242FF9"/>
    <w:rsid w:val="00243662"/>
    <w:rsid w:val="002439BE"/>
    <w:rsid w:val="00243D66"/>
    <w:rsid w:val="00244F83"/>
    <w:rsid w:val="002454A8"/>
    <w:rsid w:val="00245B99"/>
    <w:rsid w:val="00245CE6"/>
    <w:rsid w:val="00246D83"/>
    <w:rsid w:val="00250787"/>
    <w:rsid w:val="00250ECA"/>
    <w:rsid w:val="00251B45"/>
    <w:rsid w:val="002523A7"/>
    <w:rsid w:val="00252D48"/>
    <w:rsid w:val="0025440D"/>
    <w:rsid w:val="00254931"/>
    <w:rsid w:val="00255998"/>
    <w:rsid w:val="00256C00"/>
    <w:rsid w:val="00256ED0"/>
    <w:rsid w:val="00260650"/>
    <w:rsid w:val="002606B2"/>
    <w:rsid w:val="00261E26"/>
    <w:rsid w:val="00262245"/>
    <w:rsid w:val="0026709E"/>
    <w:rsid w:val="00267E7B"/>
    <w:rsid w:val="0027097B"/>
    <w:rsid w:val="00270A02"/>
    <w:rsid w:val="00270E0C"/>
    <w:rsid w:val="00271448"/>
    <w:rsid w:val="002718C6"/>
    <w:rsid w:val="00273002"/>
    <w:rsid w:val="00275250"/>
    <w:rsid w:val="0027617D"/>
    <w:rsid w:val="00276579"/>
    <w:rsid w:val="002766BB"/>
    <w:rsid w:val="0027719F"/>
    <w:rsid w:val="0028159C"/>
    <w:rsid w:val="00282B17"/>
    <w:rsid w:val="00283068"/>
    <w:rsid w:val="00283BBB"/>
    <w:rsid w:val="00283DE7"/>
    <w:rsid w:val="00283E47"/>
    <w:rsid w:val="002849A0"/>
    <w:rsid w:val="00284A12"/>
    <w:rsid w:val="00284F51"/>
    <w:rsid w:val="002865C6"/>
    <w:rsid w:val="00287A9B"/>
    <w:rsid w:val="002906A2"/>
    <w:rsid w:val="00290FAB"/>
    <w:rsid w:val="002924FB"/>
    <w:rsid w:val="00292EB1"/>
    <w:rsid w:val="00294258"/>
    <w:rsid w:val="00294376"/>
    <w:rsid w:val="00295EA7"/>
    <w:rsid w:val="0029634D"/>
    <w:rsid w:val="00297D5C"/>
    <w:rsid w:val="002A091C"/>
    <w:rsid w:val="002A0FE5"/>
    <w:rsid w:val="002A2B33"/>
    <w:rsid w:val="002A2EF5"/>
    <w:rsid w:val="002A503B"/>
    <w:rsid w:val="002A5A1F"/>
    <w:rsid w:val="002A5AF3"/>
    <w:rsid w:val="002A6595"/>
    <w:rsid w:val="002A6AB9"/>
    <w:rsid w:val="002A7086"/>
    <w:rsid w:val="002A771C"/>
    <w:rsid w:val="002A7B59"/>
    <w:rsid w:val="002B16DD"/>
    <w:rsid w:val="002B1E82"/>
    <w:rsid w:val="002B22D9"/>
    <w:rsid w:val="002B3E1A"/>
    <w:rsid w:val="002B5276"/>
    <w:rsid w:val="002B6472"/>
    <w:rsid w:val="002B68FF"/>
    <w:rsid w:val="002B6A0D"/>
    <w:rsid w:val="002B740E"/>
    <w:rsid w:val="002B79C9"/>
    <w:rsid w:val="002B7F63"/>
    <w:rsid w:val="002C0E03"/>
    <w:rsid w:val="002C174E"/>
    <w:rsid w:val="002C1802"/>
    <w:rsid w:val="002C1A8B"/>
    <w:rsid w:val="002C2A85"/>
    <w:rsid w:val="002C2B7E"/>
    <w:rsid w:val="002C2D26"/>
    <w:rsid w:val="002C4ACE"/>
    <w:rsid w:val="002C4C76"/>
    <w:rsid w:val="002C57C3"/>
    <w:rsid w:val="002C6265"/>
    <w:rsid w:val="002C63CE"/>
    <w:rsid w:val="002C6791"/>
    <w:rsid w:val="002D0387"/>
    <w:rsid w:val="002D216E"/>
    <w:rsid w:val="002D2646"/>
    <w:rsid w:val="002D2F52"/>
    <w:rsid w:val="002D3782"/>
    <w:rsid w:val="002D41E7"/>
    <w:rsid w:val="002D4A88"/>
    <w:rsid w:val="002D4FDF"/>
    <w:rsid w:val="002D63E1"/>
    <w:rsid w:val="002D65D1"/>
    <w:rsid w:val="002D73D4"/>
    <w:rsid w:val="002E098E"/>
    <w:rsid w:val="002E2564"/>
    <w:rsid w:val="002E4257"/>
    <w:rsid w:val="002E51E6"/>
    <w:rsid w:val="002E60C8"/>
    <w:rsid w:val="002E6FCA"/>
    <w:rsid w:val="002F038D"/>
    <w:rsid w:val="002F14A7"/>
    <w:rsid w:val="002F14E7"/>
    <w:rsid w:val="002F2F9C"/>
    <w:rsid w:val="002F3EC3"/>
    <w:rsid w:val="002F51B6"/>
    <w:rsid w:val="002F6302"/>
    <w:rsid w:val="002F67DB"/>
    <w:rsid w:val="002F7A8A"/>
    <w:rsid w:val="00300102"/>
    <w:rsid w:val="00300DAA"/>
    <w:rsid w:val="00300EBA"/>
    <w:rsid w:val="0030144B"/>
    <w:rsid w:val="003027FF"/>
    <w:rsid w:val="00302A37"/>
    <w:rsid w:val="00302A84"/>
    <w:rsid w:val="00303773"/>
    <w:rsid w:val="00303B4C"/>
    <w:rsid w:val="00303F22"/>
    <w:rsid w:val="00304289"/>
    <w:rsid w:val="003058E1"/>
    <w:rsid w:val="00306A8C"/>
    <w:rsid w:val="00306B32"/>
    <w:rsid w:val="003073E3"/>
    <w:rsid w:val="00307CF0"/>
    <w:rsid w:val="00310204"/>
    <w:rsid w:val="003110A2"/>
    <w:rsid w:val="003146A5"/>
    <w:rsid w:val="003151EA"/>
    <w:rsid w:val="00315BE3"/>
    <w:rsid w:val="003176C1"/>
    <w:rsid w:val="0032114C"/>
    <w:rsid w:val="0032196E"/>
    <w:rsid w:val="00323DB5"/>
    <w:rsid w:val="0032582F"/>
    <w:rsid w:val="00325C36"/>
    <w:rsid w:val="00325CA6"/>
    <w:rsid w:val="00326630"/>
    <w:rsid w:val="003271D2"/>
    <w:rsid w:val="00327BBA"/>
    <w:rsid w:val="003301D9"/>
    <w:rsid w:val="00330F9D"/>
    <w:rsid w:val="003312EF"/>
    <w:rsid w:val="00331794"/>
    <w:rsid w:val="00331E5C"/>
    <w:rsid w:val="00332196"/>
    <w:rsid w:val="00332E4D"/>
    <w:rsid w:val="00333104"/>
    <w:rsid w:val="00334D17"/>
    <w:rsid w:val="00335A03"/>
    <w:rsid w:val="00336273"/>
    <w:rsid w:val="00340E2D"/>
    <w:rsid w:val="00342977"/>
    <w:rsid w:val="00343859"/>
    <w:rsid w:val="00343914"/>
    <w:rsid w:val="00343E19"/>
    <w:rsid w:val="00345A0F"/>
    <w:rsid w:val="00345C05"/>
    <w:rsid w:val="00346308"/>
    <w:rsid w:val="00346514"/>
    <w:rsid w:val="003466A6"/>
    <w:rsid w:val="003467D0"/>
    <w:rsid w:val="00347FAB"/>
    <w:rsid w:val="00350C28"/>
    <w:rsid w:val="00352425"/>
    <w:rsid w:val="00353B27"/>
    <w:rsid w:val="00353DFB"/>
    <w:rsid w:val="003545E5"/>
    <w:rsid w:val="00354708"/>
    <w:rsid w:val="00354A8C"/>
    <w:rsid w:val="00354DCA"/>
    <w:rsid w:val="00355B65"/>
    <w:rsid w:val="003561EC"/>
    <w:rsid w:val="00360371"/>
    <w:rsid w:val="00361DA1"/>
    <w:rsid w:val="00362692"/>
    <w:rsid w:val="0036341A"/>
    <w:rsid w:val="00363C5A"/>
    <w:rsid w:val="003655A9"/>
    <w:rsid w:val="00365D7E"/>
    <w:rsid w:val="003661C5"/>
    <w:rsid w:val="003667DA"/>
    <w:rsid w:val="00373615"/>
    <w:rsid w:val="00373893"/>
    <w:rsid w:val="00373C3C"/>
    <w:rsid w:val="00373E74"/>
    <w:rsid w:val="003745C7"/>
    <w:rsid w:val="00375A77"/>
    <w:rsid w:val="00375B79"/>
    <w:rsid w:val="0037669D"/>
    <w:rsid w:val="003766BD"/>
    <w:rsid w:val="003768B8"/>
    <w:rsid w:val="003773F3"/>
    <w:rsid w:val="003801DA"/>
    <w:rsid w:val="003806D1"/>
    <w:rsid w:val="00381865"/>
    <w:rsid w:val="00382C1D"/>
    <w:rsid w:val="00382DBE"/>
    <w:rsid w:val="00382ED8"/>
    <w:rsid w:val="00383450"/>
    <w:rsid w:val="00383A3B"/>
    <w:rsid w:val="003849EF"/>
    <w:rsid w:val="00384AE2"/>
    <w:rsid w:val="0038501F"/>
    <w:rsid w:val="00385453"/>
    <w:rsid w:val="003854DF"/>
    <w:rsid w:val="003935D7"/>
    <w:rsid w:val="00393FD0"/>
    <w:rsid w:val="003942F0"/>
    <w:rsid w:val="00394337"/>
    <w:rsid w:val="003943F9"/>
    <w:rsid w:val="00394C25"/>
    <w:rsid w:val="003A0567"/>
    <w:rsid w:val="003A0708"/>
    <w:rsid w:val="003A0D39"/>
    <w:rsid w:val="003A1540"/>
    <w:rsid w:val="003A77E2"/>
    <w:rsid w:val="003A78A3"/>
    <w:rsid w:val="003A7AAB"/>
    <w:rsid w:val="003A7E15"/>
    <w:rsid w:val="003B0025"/>
    <w:rsid w:val="003B17A8"/>
    <w:rsid w:val="003B1DD8"/>
    <w:rsid w:val="003B2177"/>
    <w:rsid w:val="003B2768"/>
    <w:rsid w:val="003B34F0"/>
    <w:rsid w:val="003B47BA"/>
    <w:rsid w:val="003B5422"/>
    <w:rsid w:val="003B694F"/>
    <w:rsid w:val="003B6F2F"/>
    <w:rsid w:val="003C0AD8"/>
    <w:rsid w:val="003C2482"/>
    <w:rsid w:val="003C4449"/>
    <w:rsid w:val="003C4CDB"/>
    <w:rsid w:val="003C51DA"/>
    <w:rsid w:val="003C5C7E"/>
    <w:rsid w:val="003D0396"/>
    <w:rsid w:val="003D04EB"/>
    <w:rsid w:val="003D2279"/>
    <w:rsid w:val="003D2304"/>
    <w:rsid w:val="003D3F98"/>
    <w:rsid w:val="003D547A"/>
    <w:rsid w:val="003D5E8F"/>
    <w:rsid w:val="003D6093"/>
    <w:rsid w:val="003D641E"/>
    <w:rsid w:val="003D7000"/>
    <w:rsid w:val="003E0C19"/>
    <w:rsid w:val="003E18DB"/>
    <w:rsid w:val="003E2999"/>
    <w:rsid w:val="003E2D10"/>
    <w:rsid w:val="003E3F25"/>
    <w:rsid w:val="003F0869"/>
    <w:rsid w:val="003F1B9A"/>
    <w:rsid w:val="003F4BB9"/>
    <w:rsid w:val="003F598B"/>
    <w:rsid w:val="003F5E39"/>
    <w:rsid w:val="003F68EB"/>
    <w:rsid w:val="003F78D9"/>
    <w:rsid w:val="00400215"/>
    <w:rsid w:val="00400AEB"/>
    <w:rsid w:val="0040114E"/>
    <w:rsid w:val="00402151"/>
    <w:rsid w:val="0040262D"/>
    <w:rsid w:val="00403D32"/>
    <w:rsid w:val="00403D73"/>
    <w:rsid w:val="0040420D"/>
    <w:rsid w:val="0040434E"/>
    <w:rsid w:val="00406904"/>
    <w:rsid w:val="00406D3B"/>
    <w:rsid w:val="00406DF5"/>
    <w:rsid w:val="00407FA0"/>
    <w:rsid w:val="00410F31"/>
    <w:rsid w:val="004116E1"/>
    <w:rsid w:val="00411C36"/>
    <w:rsid w:val="00412B22"/>
    <w:rsid w:val="004130F4"/>
    <w:rsid w:val="0041327D"/>
    <w:rsid w:val="00414042"/>
    <w:rsid w:val="00414E32"/>
    <w:rsid w:val="004162B6"/>
    <w:rsid w:val="00417790"/>
    <w:rsid w:val="00420618"/>
    <w:rsid w:val="00420D31"/>
    <w:rsid w:val="00420EE5"/>
    <w:rsid w:val="004215C4"/>
    <w:rsid w:val="004216AE"/>
    <w:rsid w:val="0042293E"/>
    <w:rsid w:val="004231E0"/>
    <w:rsid w:val="004233B2"/>
    <w:rsid w:val="004237FE"/>
    <w:rsid w:val="00423989"/>
    <w:rsid w:val="004245F5"/>
    <w:rsid w:val="00424731"/>
    <w:rsid w:val="00425084"/>
    <w:rsid w:val="00425353"/>
    <w:rsid w:val="004256EF"/>
    <w:rsid w:val="0042607C"/>
    <w:rsid w:val="00426F77"/>
    <w:rsid w:val="00430C7B"/>
    <w:rsid w:val="00430FC4"/>
    <w:rsid w:val="00431648"/>
    <w:rsid w:val="00432160"/>
    <w:rsid w:val="00432921"/>
    <w:rsid w:val="00432AEF"/>
    <w:rsid w:val="00432C96"/>
    <w:rsid w:val="004337BD"/>
    <w:rsid w:val="00434362"/>
    <w:rsid w:val="00436834"/>
    <w:rsid w:val="00436FE0"/>
    <w:rsid w:val="004372F9"/>
    <w:rsid w:val="00441E1D"/>
    <w:rsid w:val="00442FEE"/>
    <w:rsid w:val="0044381A"/>
    <w:rsid w:val="004439D4"/>
    <w:rsid w:val="00444726"/>
    <w:rsid w:val="00445070"/>
    <w:rsid w:val="00445B3D"/>
    <w:rsid w:val="00445D40"/>
    <w:rsid w:val="004464CA"/>
    <w:rsid w:val="004464F4"/>
    <w:rsid w:val="00446EAC"/>
    <w:rsid w:val="004472FD"/>
    <w:rsid w:val="00447440"/>
    <w:rsid w:val="004475A8"/>
    <w:rsid w:val="00447E46"/>
    <w:rsid w:val="00453D82"/>
    <w:rsid w:val="00456A44"/>
    <w:rsid w:val="004573F7"/>
    <w:rsid w:val="00457DFA"/>
    <w:rsid w:val="00457F1B"/>
    <w:rsid w:val="00460544"/>
    <w:rsid w:val="004627BD"/>
    <w:rsid w:val="00462E58"/>
    <w:rsid w:val="00463B8E"/>
    <w:rsid w:val="00463DB5"/>
    <w:rsid w:val="004644AF"/>
    <w:rsid w:val="004644B0"/>
    <w:rsid w:val="00464ADC"/>
    <w:rsid w:val="00464D04"/>
    <w:rsid w:val="00464E89"/>
    <w:rsid w:val="0046524F"/>
    <w:rsid w:val="00465D9D"/>
    <w:rsid w:val="0046668B"/>
    <w:rsid w:val="00467ACC"/>
    <w:rsid w:val="00471E96"/>
    <w:rsid w:val="0047222E"/>
    <w:rsid w:val="00472510"/>
    <w:rsid w:val="00472773"/>
    <w:rsid w:val="004731D1"/>
    <w:rsid w:val="004737F8"/>
    <w:rsid w:val="00474241"/>
    <w:rsid w:val="00474505"/>
    <w:rsid w:val="00481018"/>
    <w:rsid w:val="004813F5"/>
    <w:rsid w:val="00481551"/>
    <w:rsid w:val="00481C63"/>
    <w:rsid w:val="0048316A"/>
    <w:rsid w:val="00483B76"/>
    <w:rsid w:val="004873F3"/>
    <w:rsid w:val="00491A5B"/>
    <w:rsid w:val="0049203C"/>
    <w:rsid w:val="00492BA7"/>
    <w:rsid w:val="00493D1D"/>
    <w:rsid w:val="00494799"/>
    <w:rsid w:val="004949CC"/>
    <w:rsid w:val="0049568F"/>
    <w:rsid w:val="00496B90"/>
    <w:rsid w:val="004973DC"/>
    <w:rsid w:val="00497869"/>
    <w:rsid w:val="004A05D0"/>
    <w:rsid w:val="004A0AEF"/>
    <w:rsid w:val="004A0D5E"/>
    <w:rsid w:val="004A1E34"/>
    <w:rsid w:val="004A3433"/>
    <w:rsid w:val="004A4A7A"/>
    <w:rsid w:val="004A5588"/>
    <w:rsid w:val="004A65B6"/>
    <w:rsid w:val="004A678C"/>
    <w:rsid w:val="004A70A9"/>
    <w:rsid w:val="004A7725"/>
    <w:rsid w:val="004A79C1"/>
    <w:rsid w:val="004B0172"/>
    <w:rsid w:val="004B0859"/>
    <w:rsid w:val="004B397E"/>
    <w:rsid w:val="004B6C81"/>
    <w:rsid w:val="004B7512"/>
    <w:rsid w:val="004C00DA"/>
    <w:rsid w:val="004C2206"/>
    <w:rsid w:val="004C3424"/>
    <w:rsid w:val="004C503A"/>
    <w:rsid w:val="004C5882"/>
    <w:rsid w:val="004C5EEC"/>
    <w:rsid w:val="004C6C1E"/>
    <w:rsid w:val="004C707C"/>
    <w:rsid w:val="004C71BA"/>
    <w:rsid w:val="004C7BDC"/>
    <w:rsid w:val="004D1928"/>
    <w:rsid w:val="004D20EF"/>
    <w:rsid w:val="004D2569"/>
    <w:rsid w:val="004D283D"/>
    <w:rsid w:val="004D38AD"/>
    <w:rsid w:val="004D39AC"/>
    <w:rsid w:val="004D6D7A"/>
    <w:rsid w:val="004D6F99"/>
    <w:rsid w:val="004D7005"/>
    <w:rsid w:val="004E0DE4"/>
    <w:rsid w:val="004E2ECE"/>
    <w:rsid w:val="004E5865"/>
    <w:rsid w:val="004E7738"/>
    <w:rsid w:val="004E7EED"/>
    <w:rsid w:val="004F129A"/>
    <w:rsid w:val="004F4165"/>
    <w:rsid w:val="004F4A8B"/>
    <w:rsid w:val="004F5AD3"/>
    <w:rsid w:val="004F64C7"/>
    <w:rsid w:val="004F6A1C"/>
    <w:rsid w:val="004F7847"/>
    <w:rsid w:val="0050074F"/>
    <w:rsid w:val="0050367C"/>
    <w:rsid w:val="00503987"/>
    <w:rsid w:val="00503A2C"/>
    <w:rsid w:val="00504950"/>
    <w:rsid w:val="00507374"/>
    <w:rsid w:val="00511A15"/>
    <w:rsid w:val="00512C01"/>
    <w:rsid w:val="005133BB"/>
    <w:rsid w:val="00513B1D"/>
    <w:rsid w:val="00514F25"/>
    <w:rsid w:val="0051594B"/>
    <w:rsid w:val="00517F86"/>
    <w:rsid w:val="005216A2"/>
    <w:rsid w:val="00521BC9"/>
    <w:rsid w:val="0052456B"/>
    <w:rsid w:val="00526E8C"/>
    <w:rsid w:val="00527239"/>
    <w:rsid w:val="0053022A"/>
    <w:rsid w:val="005315AF"/>
    <w:rsid w:val="00531BAC"/>
    <w:rsid w:val="00532338"/>
    <w:rsid w:val="005333B9"/>
    <w:rsid w:val="00533A67"/>
    <w:rsid w:val="00534E5C"/>
    <w:rsid w:val="00535293"/>
    <w:rsid w:val="00535CC6"/>
    <w:rsid w:val="00536449"/>
    <w:rsid w:val="00536B1B"/>
    <w:rsid w:val="005379F6"/>
    <w:rsid w:val="00537BAC"/>
    <w:rsid w:val="00543E30"/>
    <w:rsid w:val="00545BA1"/>
    <w:rsid w:val="00546DF6"/>
    <w:rsid w:val="005474CC"/>
    <w:rsid w:val="005514EC"/>
    <w:rsid w:val="005521DD"/>
    <w:rsid w:val="0055261F"/>
    <w:rsid w:val="005529C2"/>
    <w:rsid w:val="00552ACB"/>
    <w:rsid w:val="00553AEA"/>
    <w:rsid w:val="00554130"/>
    <w:rsid w:val="00554EF2"/>
    <w:rsid w:val="005560A6"/>
    <w:rsid w:val="00556B22"/>
    <w:rsid w:val="005619CD"/>
    <w:rsid w:val="00563C9D"/>
    <w:rsid w:val="00565575"/>
    <w:rsid w:val="0056595C"/>
    <w:rsid w:val="005668D8"/>
    <w:rsid w:val="00567E87"/>
    <w:rsid w:val="00567F3D"/>
    <w:rsid w:val="00570744"/>
    <w:rsid w:val="0057107A"/>
    <w:rsid w:val="00572E39"/>
    <w:rsid w:val="00572F8E"/>
    <w:rsid w:val="0057577B"/>
    <w:rsid w:val="00576D40"/>
    <w:rsid w:val="00577823"/>
    <w:rsid w:val="005803D5"/>
    <w:rsid w:val="0058087E"/>
    <w:rsid w:val="0058096D"/>
    <w:rsid w:val="00581023"/>
    <w:rsid w:val="005819F1"/>
    <w:rsid w:val="005838E7"/>
    <w:rsid w:val="0058448A"/>
    <w:rsid w:val="00585B59"/>
    <w:rsid w:val="00586D89"/>
    <w:rsid w:val="00586ED6"/>
    <w:rsid w:val="005903CD"/>
    <w:rsid w:val="00590ADC"/>
    <w:rsid w:val="00590B4A"/>
    <w:rsid w:val="00591A6E"/>
    <w:rsid w:val="005920E3"/>
    <w:rsid w:val="0059261A"/>
    <w:rsid w:val="00592DAC"/>
    <w:rsid w:val="0059308D"/>
    <w:rsid w:val="0059362E"/>
    <w:rsid w:val="00594098"/>
    <w:rsid w:val="005940F8"/>
    <w:rsid w:val="0059411D"/>
    <w:rsid w:val="00594AA7"/>
    <w:rsid w:val="00596088"/>
    <w:rsid w:val="005966B3"/>
    <w:rsid w:val="005970FE"/>
    <w:rsid w:val="005A00C6"/>
    <w:rsid w:val="005A010E"/>
    <w:rsid w:val="005A0637"/>
    <w:rsid w:val="005A066B"/>
    <w:rsid w:val="005A0837"/>
    <w:rsid w:val="005A4312"/>
    <w:rsid w:val="005A56DE"/>
    <w:rsid w:val="005A5FF6"/>
    <w:rsid w:val="005A6571"/>
    <w:rsid w:val="005B0059"/>
    <w:rsid w:val="005B10AD"/>
    <w:rsid w:val="005B1E41"/>
    <w:rsid w:val="005B379E"/>
    <w:rsid w:val="005B43AC"/>
    <w:rsid w:val="005B5665"/>
    <w:rsid w:val="005B7769"/>
    <w:rsid w:val="005B7AD2"/>
    <w:rsid w:val="005B7E8F"/>
    <w:rsid w:val="005C0434"/>
    <w:rsid w:val="005C17AB"/>
    <w:rsid w:val="005C3C9E"/>
    <w:rsid w:val="005C3D63"/>
    <w:rsid w:val="005C3E60"/>
    <w:rsid w:val="005C477F"/>
    <w:rsid w:val="005C5AF1"/>
    <w:rsid w:val="005C6A00"/>
    <w:rsid w:val="005C70E9"/>
    <w:rsid w:val="005D00E2"/>
    <w:rsid w:val="005D0182"/>
    <w:rsid w:val="005D178C"/>
    <w:rsid w:val="005D22A8"/>
    <w:rsid w:val="005D2B9E"/>
    <w:rsid w:val="005D2D01"/>
    <w:rsid w:val="005D2FFE"/>
    <w:rsid w:val="005D3C0A"/>
    <w:rsid w:val="005D4331"/>
    <w:rsid w:val="005D5A02"/>
    <w:rsid w:val="005D7623"/>
    <w:rsid w:val="005D7E5E"/>
    <w:rsid w:val="005E0203"/>
    <w:rsid w:val="005E0484"/>
    <w:rsid w:val="005E0913"/>
    <w:rsid w:val="005E1AC6"/>
    <w:rsid w:val="005E22EA"/>
    <w:rsid w:val="005E280C"/>
    <w:rsid w:val="005E396A"/>
    <w:rsid w:val="005E4813"/>
    <w:rsid w:val="005E491D"/>
    <w:rsid w:val="005E4A1E"/>
    <w:rsid w:val="005E65C1"/>
    <w:rsid w:val="005E7409"/>
    <w:rsid w:val="005E7BA0"/>
    <w:rsid w:val="005F0808"/>
    <w:rsid w:val="005F0DF9"/>
    <w:rsid w:val="005F2048"/>
    <w:rsid w:val="005F2166"/>
    <w:rsid w:val="005F2E2B"/>
    <w:rsid w:val="005F2FEC"/>
    <w:rsid w:val="005F3441"/>
    <w:rsid w:val="005F3F9E"/>
    <w:rsid w:val="005F44AC"/>
    <w:rsid w:val="005F528D"/>
    <w:rsid w:val="005F58F4"/>
    <w:rsid w:val="005F5D06"/>
    <w:rsid w:val="005F5E34"/>
    <w:rsid w:val="005F6045"/>
    <w:rsid w:val="005F6563"/>
    <w:rsid w:val="005F7ABE"/>
    <w:rsid w:val="005F7E49"/>
    <w:rsid w:val="00601C53"/>
    <w:rsid w:val="00602508"/>
    <w:rsid w:val="00602916"/>
    <w:rsid w:val="00605FCE"/>
    <w:rsid w:val="006063CF"/>
    <w:rsid w:val="0060693E"/>
    <w:rsid w:val="00606E1D"/>
    <w:rsid w:val="00607872"/>
    <w:rsid w:val="006100C5"/>
    <w:rsid w:val="00610A20"/>
    <w:rsid w:val="00612836"/>
    <w:rsid w:val="006146FD"/>
    <w:rsid w:val="006148ED"/>
    <w:rsid w:val="0061528B"/>
    <w:rsid w:val="00615637"/>
    <w:rsid w:val="00615E8E"/>
    <w:rsid w:val="00620310"/>
    <w:rsid w:val="006205E5"/>
    <w:rsid w:val="006214AD"/>
    <w:rsid w:val="00621737"/>
    <w:rsid w:val="00624F8C"/>
    <w:rsid w:val="0062572B"/>
    <w:rsid w:val="00625BF6"/>
    <w:rsid w:val="00627D48"/>
    <w:rsid w:val="0063038E"/>
    <w:rsid w:val="00630734"/>
    <w:rsid w:val="00630CCD"/>
    <w:rsid w:val="00631CED"/>
    <w:rsid w:val="00632866"/>
    <w:rsid w:val="006339E8"/>
    <w:rsid w:val="006345E0"/>
    <w:rsid w:val="0063482A"/>
    <w:rsid w:val="00634BAF"/>
    <w:rsid w:val="00634D0F"/>
    <w:rsid w:val="00634F20"/>
    <w:rsid w:val="00635852"/>
    <w:rsid w:val="0063652C"/>
    <w:rsid w:val="0063664B"/>
    <w:rsid w:val="00637826"/>
    <w:rsid w:val="00637AEE"/>
    <w:rsid w:val="00640359"/>
    <w:rsid w:val="00640968"/>
    <w:rsid w:val="00642426"/>
    <w:rsid w:val="00644326"/>
    <w:rsid w:val="00644360"/>
    <w:rsid w:val="006450D4"/>
    <w:rsid w:val="00645428"/>
    <w:rsid w:val="00645E77"/>
    <w:rsid w:val="00645E8E"/>
    <w:rsid w:val="00646DAC"/>
    <w:rsid w:val="00647774"/>
    <w:rsid w:val="00650342"/>
    <w:rsid w:val="006521A0"/>
    <w:rsid w:val="00652441"/>
    <w:rsid w:val="00652BCD"/>
    <w:rsid w:val="0065382B"/>
    <w:rsid w:val="00653A04"/>
    <w:rsid w:val="0065474D"/>
    <w:rsid w:val="006548D4"/>
    <w:rsid w:val="00654983"/>
    <w:rsid w:val="00655468"/>
    <w:rsid w:val="00655AD4"/>
    <w:rsid w:val="006567A3"/>
    <w:rsid w:val="00656C56"/>
    <w:rsid w:val="00660EB8"/>
    <w:rsid w:val="00662665"/>
    <w:rsid w:val="0066286C"/>
    <w:rsid w:val="00663FDF"/>
    <w:rsid w:val="006647E6"/>
    <w:rsid w:val="0066596D"/>
    <w:rsid w:val="00666A07"/>
    <w:rsid w:val="006718E1"/>
    <w:rsid w:val="00672F8C"/>
    <w:rsid w:val="006730A1"/>
    <w:rsid w:val="0067571E"/>
    <w:rsid w:val="00677A77"/>
    <w:rsid w:val="00677B48"/>
    <w:rsid w:val="00680A0F"/>
    <w:rsid w:val="00680F97"/>
    <w:rsid w:val="0068504D"/>
    <w:rsid w:val="00687CD6"/>
    <w:rsid w:val="006900F1"/>
    <w:rsid w:val="00691206"/>
    <w:rsid w:val="00691228"/>
    <w:rsid w:val="0069162C"/>
    <w:rsid w:val="00691BEE"/>
    <w:rsid w:val="006923D3"/>
    <w:rsid w:val="006930CE"/>
    <w:rsid w:val="006936BD"/>
    <w:rsid w:val="00694B2B"/>
    <w:rsid w:val="00697140"/>
    <w:rsid w:val="006A080D"/>
    <w:rsid w:val="006A166B"/>
    <w:rsid w:val="006A1A29"/>
    <w:rsid w:val="006A3087"/>
    <w:rsid w:val="006A40F2"/>
    <w:rsid w:val="006A4F66"/>
    <w:rsid w:val="006B1979"/>
    <w:rsid w:val="006B2952"/>
    <w:rsid w:val="006B2DF0"/>
    <w:rsid w:val="006B2F66"/>
    <w:rsid w:val="006B3609"/>
    <w:rsid w:val="006B46B5"/>
    <w:rsid w:val="006B484F"/>
    <w:rsid w:val="006B4F08"/>
    <w:rsid w:val="006B572A"/>
    <w:rsid w:val="006B7148"/>
    <w:rsid w:val="006C08B6"/>
    <w:rsid w:val="006C0EE8"/>
    <w:rsid w:val="006C1B58"/>
    <w:rsid w:val="006C1BDA"/>
    <w:rsid w:val="006C2208"/>
    <w:rsid w:val="006C2246"/>
    <w:rsid w:val="006C2F63"/>
    <w:rsid w:val="006C35AD"/>
    <w:rsid w:val="006C42C9"/>
    <w:rsid w:val="006C4718"/>
    <w:rsid w:val="006C51FB"/>
    <w:rsid w:val="006C5842"/>
    <w:rsid w:val="006C5C7E"/>
    <w:rsid w:val="006C5E38"/>
    <w:rsid w:val="006C7E66"/>
    <w:rsid w:val="006D035D"/>
    <w:rsid w:val="006D4001"/>
    <w:rsid w:val="006D451B"/>
    <w:rsid w:val="006D494B"/>
    <w:rsid w:val="006D4CF4"/>
    <w:rsid w:val="006D4ED7"/>
    <w:rsid w:val="006D60F9"/>
    <w:rsid w:val="006D6F76"/>
    <w:rsid w:val="006D712D"/>
    <w:rsid w:val="006D74E6"/>
    <w:rsid w:val="006E079E"/>
    <w:rsid w:val="006E18A5"/>
    <w:rsid w:val="006E1A98"/>
    <w:rsid w:val="006E3310"/>
    <w:rsid w:val="006E3509"/>
    <w:rsid w:val="006E3557"/>
    <w:rsid w:val="006E3CF4"/>
    <w:rsid w:val="006E5F16"/>
    <w:rsid w:val="006E68EC"/>
    <w:rsid w:val="006E7BC9"/>
    <w:rsid w:val="006F0B99"/>
    <w:rsid w:val="006F2F23"/>
    <w:rsid w:val="006F3821"/>
    <w:rsid w:val="006F401A"/>
    <w:rsid w:val="006F4E26"/>
    <w:rsid w:val="006F505F"/>
    <w:rsid w:val="006F57C3"/>
    <w:rsid w:val="006F61C0"/>
    <w:rsid w:val="006F65CF"/>
    <w:rsid w:val="006F71D6"/>
    <w:rsid w:val="007008B8"/>
    <w:rsid w:val="00701348"/>
    <w:rsid w:val="00701E2C"/>
    <w:rsid w:val="00702210"/>
    <w:rsid w:val="007022AC"/>
    <w:rsid w:val="0070258C"/>
    <w:rsid w:val="00702870"/>
    <w:rsid w:val="007031C2"/>
    <w:rsid w:val="00704A3A"/>
    <w:rsid w:val="00705034"/>
    <w:rsid w:val="007064B0"/>
    <w:rsid w:val="00707204"/>
    <w:rsid w:val="007101F4"/>
    <w:rsid w:val="00711795"/>
    <w:rsid w:val="007117AB"/>
    <w:rsid w:val="007134B7"/>
    <w:rsid w:val="00713CA6"/>
    <w:rsid w:val="00714624"/>
    <w:rsid w:val="00715929"/>
    <w:rsid w:val="00715BC1"/>
    <w:rsid w:val="00717042"/>
    <w:rsid w:val="00720295"/>
    <w:rsid w:val="007204B4"/>
    <w:rsid w:val="0072063D"/>
    <w:rsid w:val="0072096B"/>
    <w:rsid w:val="0072115F"/>
    <w:rsid w:val="00722E32"/>
    <w:rsid w:val="00724A34"/>
    <w:rsid w:val="007255B1"/>
    <w:rsid w:val="007260CF"/>
    <w:rsid w:val="007262FC"/>
    <w:rsid w:val="00727CE4"/>
    <w:rsid w:val="00727DEF"/>
    <w:rsid w:val="00730A86"/>
    <w:rsid w:val="0073129B"/>
    <w:rsid w:val="00731459"/>
    <w:rsid w:val="00731ECA"/>
    <w:rsid w:val="007325A3"/>
    <w:rsid w:val="00732725"/>
    <w:rsid w:val="00732C91"/>
    <w:rsid w:val="007336CA"/>
    <w:rsid w:val="00733DD6"/>
    <w:rsid w:val="00733F86"/>
    <w:rsid w:val="0073402B"/>
    <w:rsid w:val="007341C7"/>
    <w:rsid w:val="00734EC8"/>
    <w:rsid w:val="00735D99"/>
    <w:rsid w:val="007368E5"/>
    <w:rsid w:val="00737C86"/>
    <w:rsid w:val="0074049C"/>
    <w:rsid w:val="00740D4C"/>
    <w:rsid w:val="00740ED7"/>
    <w:rsid w:val="0074385B"/>
    <w:rsid w:val="007443EE"/>
    <w:rsid w:val="00744C0E"/>
    <w:rsid w:val="00747452"/>
    <w:rsid w:val="0074758E"/>
    <w:rsid w:val="00747642"/>
    <w:rsid w:val="007502AC"/>
    <w:rsid w:val="0075149C"/>
    <w:rsid w:val="00751E89"/>
    <w:rsid w:val="00752403"/>
    <w:rsid w:val="00754843"/>
    <w:rsid w:val="00754A77"/>
    <w:rsid w:val="00754B13"/>
    <w:rsid w:val="00754B9D"/>
    <w:rsid w:val="00754BB8"/>
    <w:rsid w:val="007555B8"/>
    <w:rsid w:val="00755A96"/>
    <w:rsid w:val="00755F27"/>
    <w:rsid w:val="00760440"/>
    <w:rsid w:val="007606C7"/>
    <w:rsid w:val="007616D0"/>
    <w:rsid w:val="007623BB"/>
    <w:rsid w:val="00762573"/>
    <w:rsid w:val="007627C4"/>
    <w:rsid w:val="00762C84"/>
    <w:rsid w:val="0076314C"/>
    <w:rsid w:val="00764BF2"/>
    <w:rsid w:val="00765991"/>
    <w:rsid w:val="00765D32"/>
    <w:rsid w:val="00765EC0"/>
    <w:rsid w:val="00766879"/>
    <w:rsid w:val="00767921"/>
    <w:rsid w:val="00770403"/>
    <w:rsid w:val="007706EE"/>
    <w:rsid w:val="007726C2"/>
    <w:rsid w:val="00774631"/>
    <w:rsid w:val="00780317"/>
    <w:rsid w:val="007815B0"/>
    <w:rsid w:val="00781BF0"/>
    <w:rsid w:val="00783971"/>
    <w:rsid w:val="00784154"/>
    <w:rsid w:val="00785EF6"/>
    <w:rsid w:val="00786160"/>
    <w:rsid w:val="007868DF"/>
    <w:rsid w:val="00786C30"/>
    <w:rsid w:val="0079038D"/>
    <w:rsid w:val="007912AC"/>
    <w:rsid w:val="00791EE0"/>
    <w:rsid w:val="0079303B"/>
    <w:rsid w:val="0079356C"/>
    <w:rsid w:val="0079554A"/>
    <w:rsid w:val="00795978"/>
    <w:rsid w:val="00795D73"/>
    <w:rsid w:val="00797763"/>
    <w:rsid w:val="007A1418"/>
    <w:rsid w:val="007A1BBF"/>
    <w:rsid w:val="007A202F"/>
    <w:rsid w:val="007A3244"/>
    <w:rsid w:val="007A38D9"/>
    <w:rsid w:val="007A78A8"/>
    <w:rsid w:val="007A7DFE"/>
    <w:rsid w:val="007B0022"/>
    <w:rsid w:val="007B08C7"/>
    <w:rsid w:val="007B0EEC"/>
    <w:rsid w:val="007B2BA5"/>
    <w:rsid w:val="007B33B9"/>
    <w:rsid w:val="007B37CD"/>
    <w:rsid w:val="007B529D"/>
    <w:rsid w:val="007B5946"/>
    <w:rsid w:val="007B6A0F"/>
    <w:rsid w:val="007B75CB"/>
    <w:rsid w:val="007B7711"/>
    <w:rsid w:val="007C135F"/>
    <w:rsid w:val="007C136A"/>
    <w:rsid w:val="007C1791"/>
    <w:rsid w:val="007C2A3A"/>
    <w:rsid w:val="007C40B1"/>
    <w:rsid w:val="007C4440"/>
    <w:rsid w:val="007C4BE7"/>
    <w:rsid w:val="007C51DB"/>
    <w:rsid w:val="007C5A2F"/>
    <w:rsid w:val="007C6034"/>
    <w:rsid w:val="007C62E8"/>
    <w:rsid w:val="007C645C"/>
    <w:rsid w:val="007C7383"/>
    <w:rsid w:val="007D1447"/>
    <w:rsid w:val="007D19E4"/>
    <w:rsid w:val="007D2137"/>
    <w:rsid w:val="007D352D"/>
    <w:rsid w:val="007D5288"/>
    <w:rsid w:val="007D72D7"/>
    <w:rsid w:val="007D78CE"/>
    <w:rsid w:val="007D7BFD"/>
    <w:rsid w:val="007D7EA7"/>
    <w:rsid w:val="007E10DE"/>
    <w:rsid w:val="007E10F1"/>
    <w:rsid w:val="007E1BD8"/>
    <w:rsid w:val="007E2820"/>
    <w:rsid w:val="007E3246"/>
    <w:rsid w:val="007E39FA"/>
    <w:rsid w:val="007E4A57"/>
    <w:rsid w:val="007E595D"/>
    <w:rsid w:val="007E5B5D"/>
    <w:rsid w:val="007E664D"/>
    <w:rsid w:val="007E6719"/>
    <w:rsid w:val="007F1192"/>
    <w:rsid w:val="007F3836"/>
    <w:rsid w:val="008000D1"/>
    <w:rsid w:val="008011DB"/>
    <w:rsid w:val="008012C4"/>
    <w:rsid w:val="00802704"/>
    <w:rsid w:val="0080341A"/>
    <w:rsid w:val="008044C1"/>
    <w:rsid w:val="00804B85"/>
    <w:rsid w:val="008054E4"/>
    <w:rsid w:val="008058AC"/>
    <w:rsid w:val="00805920"/>
    <w:rsid w:val="008060EC"/>
    <w:rsid w:val="008062E6"/>
    <w:rsid w:val="00806896"/>
    <w:rsid w:val="00806D88"/>
    <w:rsid w:val="00807C0C"/>
    <w:rsid w:val="00810380"/>
    <w:rsid w:val="00810384"/>
    <w:rsid w:val="008114B9"/>
    <w:rsid w:val="008116FF"/>
    <w:rsid w:val="00811798"/>
    <w:rsid w:val="00811B60"/>
    <w:rsid w:val="00811E7F"/>
    <w:rsid w:val="00811F33"/>
    <w:rsid w:val="008125E5"/>
    <w:rsid w:val="00815B94"/>
    <w:rsid w:val="00816F57"/>
    <w:rsid w:val="008174E6"/>
    <w:rsid w:val="00817C6F"/>
    <w:rsid w:val="008203EC"/>
    <w:rsid w:val="00821540"/>
    <w:rsid w:val="008215D6"/>
    <w:rsid w:val="00823171"/>
    <w:rsid w:val="00824A3A"/>
    <w:rsid w:val="0082519E"/>
    <w:rsid w:val="00825CD9"/>
    <w:rsid w:val="00825F77"/>
    <w:rsid w:val="00826A84"/>
    <w:rsid w:val="00830AE0"/>
    <w:rsid w:val="00830C27"/>
    <w:rsid w:val="008317FB"/>
    <w:rsid w:val="008324E4"/>
    <w:rsid w:val="00833113"/>
    <w:rsid w:val="00833989"/>
    <w:rsid w:val="00835195"/>
    <w:rsid w:val="008356D6"/>
    <w:rsid w:val="00836A59"/>
    <w:rsid w:val="0083781F"/>
    <w:rsid w:val="0083796D"/>
    <w:rsid w:val="008408F9"/>
    <w:rsid w:val="00840E03"/>
    <w:rsid w:val="00840E0D"/>
    <w:rsid w:val="00841B67"/>
    <w:rsid w:val="0084371E"/>
    <w:rsid w:val="008437D9"/>
    <w:rsid w:val="00845BAC"/>
    <w:rsid w:val="0084643E"/>
    <w:rsid w:val="00846DB9"/>
    <w:rsid w:val="008472DF"/>
    <w:rsid w:val="008507EE"/>
    <w:rsid w:val="0085080C"/>
    <w:rsid w:val="00850E1D"/>
    <w:rsid w:val="00851543"/>
    <w:rsid w:val="00852B62"/>
    <w:rsid w:val="00853C05"/>
    <w:rsid w:val="00853C5D"/>
    <w:rsid w:val="0085436B"/>
    <w:rsid w:val="008552BB"/>
    <w:rsid w:val="00855FD1"/>
    <w:rsid w:val="00856210"/>
    <w:rsid w:val="008571C6"/>
    <w:rsid w:val="008605AC"/>
    <w:rsid w:val="00861E5A"/>
    <w:rsid w:val="00862B05"/>
    <w:rsid w:val="00863033"/>
    <w:rsid w:val="008643FE"/>
    <w:rsid w:val="00864492"/>
    <w:rsid w:val="00864E88"/>
    <w:rsid w:val="00865C27"/>
    <w:rsid w:val="00866ACE"/>
    <w:rsid w:val="00867CF4"/>
    <w:rsid w:val="00870C21"/>
    <w:rsid w:val="00870EFC"/>
    <w:rsid w:val="0087168C"/>
    <w:rsid w:val="008723F2"/>
    <w:rsid w:val="00873122"/>
    <w:rsid w:val="008749F7"/>
    <w:rsid w:val="00874E15"/>
    <w:rsid w:val="00876378"/>
    <w:rsid w:val="00877784"/>
    <w:rsid w:val="0087791A"/>
    <w:rsid w:val="008804DA"/>
    <w:rsid w:val="00880781"/>
    <w:rsid w:val="008829DB"/>
    <w:rsid w:val="00882FF5"/>
    <w:rsid w:val="00883A14"/>
    <w:rsid w:val="00884192"/>
    <w:rsid w:val="00884FCC"/>
    <w:rsid w:val="00886287"/>
    <w:rsid w:val="0088694A"/>
    <w:rsid w:val="00886A53"/>
    <w:rsid w:val="00886CFF"/>
    <w:rsid w:val="00890129"/>
    <w:rsid w:val="008906E5"/>
    <w:rsid w:val="00890B73"/>
    <w:rsid w:val="00891346"/>
    <w:rsid w:val="008914CD"/>
    <w:rsid w:val="00891660"/>
    <w:rsid w:val="00891890"/>
    <w:rsid w:val="00892598"/>
    <w:rsid w:val="00892694"/>
    <w:rsid w:val="008931FA"/>
    <w:rsid w:val="00893959"/>
    <w:rsid w:val="008947F5"/>
    <w:rsid w:val="0089635A"/>
    <w:rsid w:val="00897B5F"/>
    <w:rsid w:val="00897E60"/>
    <w:rsid w:val="008A0A0F"/>
    <w:rsid w:val="008A10E2"/>
    <w:rsid w:val="008A18DE"/>
    <w:rsid w:val="008A2CB8"/>
    <w:rsid w:val="008A3235"/>
    <w:rsid w:val="008A3F96"/>
    <w:rsid w:val="008A4BB6"/>
    <w:rsid w:val="008A69AE"/>
    <w:rsid w:val="008A7098"/>
    <w:rsid w:val="008A7324"/>
    <w:rsid w:val="008B0145"/>
    <w:rsid w:val="008B01C6"/>
    <w:rsid w:val="008B0627"/>
    <w:rsid w:val="008B062F"/>
    <w:rsid w:val="008B2E47"/>
    <w:rsid w:val="008B3C4D"/>
    <w:rsid w:val="008B4E3E"/>
    <w:rsid w:val="008B5065"/>
    <w:rsid w:val="008B5BEB"/>
    <w:rsid w:val="008B7F8A"/>
    <w:rsid w:val="008C042B"/>
    <w:rsid w:val="008C1F0E"/>
    <w:rsid w:val="008C2F5F"/>
    <w:rsid w:val="008C344C"/>
    <w:rsid w:val="008C62CB"/>
    <w:rsid w:val="008C7D18"/>
    <w:rsid w:val="008D10F1"/>
    <w:rsid w:val="008D118C"/>
    <w:rsid w:val="008D2A82"/>
    <w:rsid w:val="008D392C"/>
    <w:rsid w:val="008D3A01"/>
    <w:rsid w:val="008D568D"/>
    <w:rsid w:val="008D6A8B"/>
    <w:rsid w:val="008E0167"/>
    <w:rsid w:val="008E078F"/>
    <w:rsid w:val="008E1430"/>
    <w:rsid w:val="008E1DEB"/>
    <w:rsid w:val="008E2BB5"/>
    <w:rsid w:val="008E4255"/>
    <w:rsid w:val="008E429A"/>
    <w:rsid w:val="008E5C44"/>
    <w:rsid w:val="008E6988"/>
    <w:rsid w:val="008E6E0E"/>
    <w:rsid w:val="008E72A1"/>
    <w:rsid w:val="008E76B2"/>
    <w:rsid w:val="008F171A"/>
    <w:rsid w:val="008F1D91"/>
    <w:rsid w:val="008F2845"/>
    <w:rsid w:val="008F32C3"/>
    <w:rsid w:val="008F3DEC"/>
    <w:rsid w:val="008F5385"/>
    <w:rsid w:val="008F5C82"/>
    <w:rsid w:val="008F5F0A"/>
    <w:rsid w:val="008F6E5C"/>
    <w:rsid w:val="008F7C63"/>
    <w:rsid w:val="00900B36"/>
    <w:rsid w:val="009011C8"/>
    <w:rsid w:val="009012D1"/>
    <w:rsid w:val="00901889"/>
    <w:rsid w:val="00901CAF"/>
    <w:rsid w:val="0090202F"/>
    <w:rsid w:val="00902C01"/>
    <w:rsid w:val="00905A03"/>
    <w:rsid w:val="00905BDE"/>
    <w:rsid w:val="009062A6"/>
    <w:rsid w:val="009074FE"/>
    <w:rsid w:val="00907ADF"/>
    <w:rsid w:val="009101D1"/>
    <w:rsid w:val="00910E28"/>
    <w:rsid w:val="00911561"/>
    <w:rsid w:val="0091248A"/>
    <w:rsid w:val="00912C68"/>
    <w:rsid w:val="009132A6"/>
    <w:rsid w:val="00913532"/>
    <w:rsid w:val="00913583"/>
    <w:rsid w:val="009138AC"/>
    <w:rsid w:val="009152A0"/>
    <w:rsid w:val="00916C46"/>
    <w:rsid w:val="00920882"/>
    <w:rsid w:val="0092265E"/>
    <w:rsid w:val="0092272E"/>
    <w:rsid w:val="00924BE9"/>
    <w:rsid w:val="0092660A"/>
    <w:rsid w:val="00926629"/>
    <w:rsid w:val="00926F61"/>
    <w:rsid w:val="00927996"/>
    <w:rsid w:val="00927CC6"/>
    <w:rsid w:val="009317F0"/>
    <w:rsid w:val="00931B43"/>
    <w:rsid w:val="009321DE"/>
    <w:rsid w:val="00932A59"/>
    <w:rsid w:val="00932C17"/>
    <w:rsid w:val="00932D99"/>
    <w:rsid w:val="00933878"/>
    <w:rsid w:val="0093563E"/>
    <w:rsid w:val="00935B2F"/>
    <w:rsid w:val="00936812"/>
    <w:rsid w:val="00937C4D"/>
    <w:rsid w:val="00937E88"/>
    <w:rsid w:val="00941476"/>
    <w:rsid w:val="00942575"/>
    <w:rsid w:val="009426E6"/>
    <w:rsid w:val="0094357B"/>
    <w:rsid w:val="00943F9D"/>
    <w:rsid w:val="009441F9"/>
    <w:rsid w:val="00945A15"/>
    <w:rsid w:val="00946672"/>
    <w:rsid w:val="009500CE"/>
    <w:rsid w:val="0095035C"/>
    <w:rsid w:val="009504DA"/>
    <w:rsid w:val="00952207"/>
    <w:rsid w:val="0095240F"/>
    <w:rsid w:val="0095242B"/>
    <w:rsid w:val="00952E7A"/>
    <w:rsid w:val="00955851"/>
    <w:rsid w:val="00955D1E"/>
    <w:rsid w:val="0095649B"/>
    <w:rsid w:val="00956D0C"/>
    <w:rsid w:val="00956E95"/>
    <w:rsid w:val="00957B41"/>
    <w:rsid w:val="00960131"/>
    <w:rsid w:val="009606CB"/>
    <w:rsid w:val="00960B5B"/>
    <w:rsid w:val="0096156C"/>
    <w:rsid w:val="00962A81"/>
    <w:rsid w:val="00962EB8"/>
    <w:rsid w:val="00963B92"/>
    <w:rsid w:val="00964338"/>
    <w:rsid w:val="00964380"/>
    <w:rsid w:val="00967721"/>
    <w:rsid w:val="009720BA"/>
    <w:rsid w:val="009721D5"/>
    <w:rsid w:val="00973157"/>
    <w:rsid w:val="009733FF"/>
    <w:rsid w:val="00973E91"/>
    <w:rsid w:val="009770BC"/>
    <w:rsid w:val="00981F0D"/>
    <w:rsid w:val="00982960"/>
    <w:rsid w:val="00983E52"/>
    <w:rsid w:val="00985A97"/>
    <w:rsid w:val="00985DA5"/>
    <w:rsid w:val="009863EB"/>
    <w:rsid w:val="00986AEC"/>
    <w:rsid w:val="00986B06"/>
    <w:rsid w:val="00986FB9"/>
    <w:rsid w:val="009876BD"/>
    <w:rsid w:val="00990772"/>
    <w:rsid w:val="0099282B"/>
    <w:rsid w:val="00992E30"/>
    <w:rsid w:val="00993DD3"/>
    <w:rsid w:val="00994ABF"/>
    <w:rsid w:val="00997AAD"/>
    <w:rsid w:val="00997D6D"/>
    <w:rsid w:val="00997FDA"/>
    <w:rsid w:val="009A02FC"/>
    <w:rsid w:val="009A0A77"/>
    <w:rsid w:val="009A159A"/>
    <w:rsid w:val="009A2D44"/>
    <w:rsid w:val="009A3563"/>
    <w:rsid w:val="009A3883"/>
    <w:rsid w:val="009A38D2"/>
    <w:rsid w:val="009A4352"/>
    <w:rsid w:val="009A46EF"/>
    <w:rsid w:val="009A4F8E"/>
    <w:rsid w:val="009A5404"/>
    <w:rsid w:val="009A565D"/>
    <w:rsid w:val="009A7C4E"/>
    <w:rsid w:val="009A7FA1"/>
    <w:rsid w:val="009B05E9"/>
    <w:rsid w:val="009B0DC8"/>
    <w:rsid w:val="009B17F5"/>
    <w:rsid w:val="009B20B4"/>
    <w:rsid w:val="009B3818"/>
    <w:rsid w:val="009B3C9D"/>
    <w:rsid w:val="009B41C9"/>
    <w:rsid w:val="009B5662"/>
    <w:rsid w:val="009B5E5A"/>
    <w:rsid w:val="009B62BD"/>
    <w:rsid w:val="009B6BBE"/>
    <w:rsid w:val="009B7CF4"/>
    <w:rsid w:val="009B7DCC"/>
    <w:rsid w:val="009C0617"/>
    <w:rsid w:val="009C0B70"/>
    <w:rsid w:val="009C1B73"/>
    <w:rsid w:val="009C1E82"/>
    <w:rsid w:val="009C2C1D"/>
    <w:rsid w:val="009C36CE"/>
    <w:rsid w:val="009C4079"/>
    <w:rsid w:val="009C42B6"/>
    <w:rsid w:val="009C4923"/>
    <w:rsid w:val="009C5E24"/>
    <w:rsid w:val="009C7508"/>
    <w:rsid w:val="009C7662"/>
    <w:rsid w:val="009D0273"/>
    <w:rsid w:val="009D1F01"/>
    <w:rsid w:val="009D2241"/>
    <w:rsid w:val="009D2495"/>
    <w:rsid w:val="009D261E"/>
    <w:rsid w:val="009D2961"/>
    <w:rsid w:val="009D2A14"/>
    <w:rsid w:val="009D2BAE"/>
    <w:rsid w:val="009D3AF1"/>
    <w:rsid w:val="009D3DFE"/>
    <w:rsid w:val="009D4B04"/>
    <w:rsid w:val="009D6C47"/>
    <w:rsid w:val="009D7DD0"/>
    <w:rsid w:val="009E2546"/>
    <w:rsid w:val="009E4DA4"/>
    <w:rsid w:val="009F07AF"/>
    <w:rsid w:val="009F29F8"/>
    <w:rsid w:val="009F3173"/>
    <w:rsid w:val="009F5A37"/>
    <w:rsid w:val="009F7D14"/>
    <w:rsid w:val="00A00E0E"/>
    <w:rsid w:val="00A00FDD"/>
    <w:rsid w:val="00A010F0"/>
    <w:rsid w:val="00A012FD"/>
    <w:rsid w:val="00A01971"/>
    <w:rsid w:val="00A036A5"/>
    <w:rsid w:val="00A0542E"/>
    <w:rsid w:val="00A05B65"/>
    <w:rsid w:val="00A06560"/>
    <w:rsid w:val="00A0765F"/>
    <w:rsid w:val="00A07A66"/>
    <w:rsid w:val="00A11A66"/>
    <w:rsid w:val="00A11D36"/>
    <w:rsid w:val="00A124D7"/>
    <w:rsid w:val="00A15668"/>
    <w:rsid w:val="00A164C5"/>
    <w:rsid w:val="00A169C1"/>
    <w:rsid w:val="00A16A2D"/>
    <w:rsid w:val="00A20E6A"/>
    <w:rsid w:val="00A23616"/>
    <w:rsid w:val="00A23938"/>
    <w:rsid w:val="00A24BF2"/>
    <w:rsid w:val="00A25AE5"/>
    <w:rsid w:val="00A2748C"/>
    <w:rsid w:val="00A27CC2"/>
    <w:rsid w:val="00A27DFF"/>
    <w:rsid w:val="00A31786"/>
    <w:rsid w:val="00A327F1"/>
    <w:rsid w:val="00A331BB"/>
    <w:rsid w:val="00A33A85"/>
    <w:rsid w:val="00A34A84"/>
    <w:rsid w:val="00A35D79"/>
    <w:rsid w:val="00A365CB"/>
    <w:rsid w:val="00A41136"/>
    <w:rsid w:val="00A415FF"/>
    <w:rsid w:val="00A41A90"/>
    <w:rsid w:val="00A42E88"/>
    <w:rsid w:val="00A44B3E"/>
    <w:rsid w:val="00A453EC"/>
    <w:rsid w:val="00A463B7"/>
    <w:rsid w:val="00A463ED"/>
    <w:rsid w:val="00A46894"/>
    <w:rsid w:val="00A4718A"/>
    <w:rsid w:val="00A47711"/>
    <w:rsid w:val="00A503DD"/>
    <w:rsid w:val="00A505E5"/>
    <w:rsid w:val="00A512F7"/>
    <w:rsid w:val="00A51EA9"/>
    <w:rsid w:val="00A52A5E"/>
    <w:rsid w:val="00A5328A"/>
    <w:rsid w:val="00A541B5"/>
    <w:rsid w:val="00A5436B"/>
    <w:rsid w:val="00A56A81"/>
    <w:rsid w:val="00A56C71"/>
    <w:rsid w:val="00A57904"/>
    <w:rsid w:val="00A62E9C"/>
    <w:rsid w:val="00A63899"/>
    <w:rsid w:val="00A63CC9"/>
    <w:rsid w:val="00A6501C"/>
    <w:rsid w:val="00A6632B"/>
    <w:rsid w:val="00A66595"/>
    <w:rsid w:val="00A706F2"/>
    <w:rsid w:val="00A73082"/>
    <w:rsid w:val="00A732B1"/>
    <w:rsid w:val="00A734BF"/>
    <w:rsid w:val="00A73A0D"/>
    <w:rsid w:val="00A73B19"/>
    <w:rsid w:val="00A74E0B"/>
    <w:rsid w:val="00A75775"/>
    <w:rsid w:val="00A758E0"/>
    <w:rsid w:val="00A76A05"/>
    <w:rsid w:val="00A76ACA"/>
    <w:rsid w:val="00A76CDE"/>
    <w:rsid w:val="00A7774E"/>
    <w:rsid w:val="00A8100C"/>
    <w:rsid w:val="00A810AA"/>
    <w:rsid w:val="00A816FA"/>
    <w:rsid w:val="00A81E33"/>
    <w:rsid w:val="00A82378"/>
    <w:rsid w:val="00A86B18"/>
    <w:rsid w:val="00A86C61"/>
    <w:rsid w:val="00A90327"/>
    <w:rsid w:val="00A90926"/>
    <w:rsid w:val="00A90A38"/>
    <w:rsid w:val="00A913DF"/>
    <w:rsid w:val="00A9212F"/>
    <w:rsid w:val="00A929A4"/>
    <w:rsid w:val="00A935F4"/>
    <w:rsid w:val="00A93FB3"/>
    <w:rsid w:val="00A946FA"/>
    <w:rsid w:val="00A94895"/>
    <w:rsid w:val="00A9605D"/>
    <w:rsid w:val="00A96FEB"/>
    <w:rsid w:val="00AA0099"/>
    <w:rsid w:val="00AA39A9"/>
    <w:rsid w:val="00AA63E2"/>
    <w:rsid w:val="00AA6A13"/>
    <w:rsid w:val="00AB0F2B"/>
    <w:rsid w:val="00AB2052"/>
    <w:rsid w:val="00AB2198"/>
    <w:rsid w:val="00AB2B2F"/>
    <w:rsid w:val="00AB329D"/>
    <w:rsid w:val="00AB3EC7"/>
    <w:rsid w:val="00AB53BF"/>
    <w:rsid w:val="00AB5AA3"/>
    <w:rsid w:val="00AB63E5"/>
    <w:rsid w:val="00AB67B4"/>
    <w:rsid w:val="00AB76CD"/>
    <w:rsid w:val="00AC080A"/>
    <w:rsid w:val="00AC0CEF"/>
    <w:rsid w:val="00AC1084"/>
    <w:rsid w:val="00AC1135"/>
    <w:rsid w:val="00AC21A1"/>
    <w:rsid w:val="00AC359D"/>
    <w:rsid w:val="00AC363D"/>
    <w:rsid w:val="00AC626D"/>
    <w:rsid w:val="00AC6F1A"/>
    <w:rsid w:val="00AD0891"/>
    <w:rsid w:val="00AD0F5B"/>
    <w:rsid w:val="00AD2637"/>
    <w:rsid w:val="00AD2D54"/>
    <w:rsid w:val="00AD3BE6"/>
    <w:rsid w:val="00AD3BF3"/>
    <w:rsid w:val="00AD3DFC"/>
    <w:rsid w:val="00AD41A4"/>
    <w:rsid w:val="00AD4878"/>
    <w:rsid w:val="00AD4BFA"/>
    <w:rsid w:val="00AD5258"/>
    <w:rsid w:val="00AD54FF"/>
    <w:rsid w:val="00AD5896"/>
    <w:rsid w:val="00AD5C26"/>
    <w:rsid w:val="00AD76A9"/>
    <w:rsid w:val="00AD7DA4"/>
    <w:rsid w:val="00AE09E2"/>
    <w:rsid w:val="00AE2C0F"/>
    <w:rsid w:val="00AE39A0"/>
    <w:rsid w:val="00AE3F97"/>
    <w:rsid w:val="00AE4B9F"/>
    <w:rsid w:val="00AE607B"/>
    <w:rsid w:val="00AF357B"/>
    <w:rsid w:val="00AF3832"/>
    <w:rsid w:val="00AF6291"/>
    <w:rsid w:val="00AF6B5D"/>
    <w:rsid w:val="00AF7AD0"/>
    <w:rsid w:val="00B001EA"/>
    <w:rsid w:val="00B0228D"/>
    <w:rsid w:val="00B02B21"/>
    <w:rsid w:val="00B02F6C"/>
    <w:rsid w:val="00B035C4"/>
    <w:rsid w:val="00B04D75"/>
    <w:rsid w:val="00B04EDF"/>
    <w:rsid w:val="00B062D9"/>
    <w:rsid w:val="00B07225"/>
    <w:rsid w:val="00B12318"/>
    <w:rsid w:val="00B126D9"/>
    <w:rsid w:val="00B12E01"/>
    <w:rsid w:val="00B13EA0"/>
    <w:rsid w:val="00B13EE8"/>
    <w:rsid w:val="00B15462"/>
    <w:rsid w:val="00B15727"/>
    <w:rsid w:val="00B1601D"/>
    <w:rsid w:val="00B16B02"/>
    <w:rsid w:val="00B172AF"/>
    <w:rsid w:val="00B21189"/>
    <w:rsid w:val="00B21E5D"/>
    <w:rsid w:val="00B24A90"/>
    <w:rsid w:val="00B25D6E"/>
    <w:rsid w:val="00B26E0D"/>
    <w:rsid w:val="00B2722F"/>
    <w:rsid w:val="00B27F90"/>
    <w:rsid w:val="00B32BB7"/>
    <w:rsid w:val="00B33750"/>
    <w:rsid w:val="00B34264"/>
    <w:rsid w:val="00B343E2"/>
    <w:rsid w:val="00B3526C"/>
    <w:rsid w:val="00B354D8"/>
    <w:rsid w:val="00B35695"/>
    <w:rsid w:val="00B357EC"/>
    <w:rsid w:val="00B3619E"/>
    <w:rsid w:val="00B36739"/>
    <w:rsid w:val="00B4083D"/>
    <w:rsid w:val="00B41AB4"/>
    <w:rsid w:val="00B438C8"/>
    <w:rsid w:val="00B46B29"/>
    <w:rsid w:val="00B46D7C"/>
    <w:rsid w:val="00B4731A"/>
    <w:rsid w:val="00B513B9"/>
    <w:rsid w:val="00B51683"/>
    <w:rsid w:val="00B51BE0"/>
    <w:rsid w:val="00B52485"/>
    <w:rsid w:val="00B52690"/>
    <w:rsid w:val="00B53685"/>
    <w:rsid w:val="00B53B4F"/>
    <w:rsid w:val="00B54063"/>
    <w:rsid w:val="00B54BF8"/>
    <w:rsid w:val="00B55158"/>
    <w:rsid w:val="00B55A20"/>
    <w:rsid w:val="00B61170"/>
    <w:rsid w:val="00B6263A"/>
    <w:rsid w:val="00B639FC"/>
    <w:rsid w:val="00B63C95"/>
    <w:rsid w:val="00B6427E"/>
    <w:rsid w:val="00B644A5"/>
    <w:rsid w:val="00B659A9"/>
    <w:rsid w:val="00B65F58"/>
    <w:rsid w:val="00B6622C"/>
    <w:rsid w:val="00B675B8"/>
    <w:rsid w:val="00B67B9B"/>
    <w:rsid w:val="00B67F59"/>
    <w:rsid w:val="00B70AD6"/>
    <w:rsid w:val="00B716DB"/>
    <w:rsid w:val="00B735E8"/>
    <w:rsid w:val="00B7380D"/>
    <w:rsid w:val="00B738FE"/>
    <w:rsid w:val="00B7397F"/>
    <w:rsid w:val="00B74697"/>
    <w:rsid w:val="00B755D8"/>
    <w:rsid w:val="00B75736"/>
    <w:rsid w:val="00B767DA"/>
    <w:rsid w:val="00B76ECD"/>
    <w:rsid w:val="00B8197B"/>
    <w:rsid w:val="00B82002"/>
    <w:rsid w:val="00B837B2"/>
    <w:rsid w:val="00B85AD1"/>
    <w:rsid w:val="00B864BC"/>
    <w:rsid w:val="00B87782"/>
    <w:rsid w:val="00B87B4C"/>
    <w:rsid w:val="00B90450"/>
    <w:rsid w:val="00B91289"/>
    <w:rsid w:val="00B91B27"/>
    <w:rsid w:val="00B92552"/>
    <w:rsid w:val="00B925CD"/>
    <w:rsid w:val="00B93066"/>
    <w:rsid w:val="00B9331E"/>
    <w:rsid w:val="00B93982"/>
    <w:rsid w:val="00B94DBE"/>
    <w:rsid w:val="00B95DBC"/>
    <w:rsid w:val="00B96152"/>
    <w:rsid w:val="00BA067C"/>
    <w:rsid w:val="00BA0846"/>
    <w:rsid w:val="00BA22D5"/>
    <w:rsid w:val="00BA39D2"/>
    <w:rsid w:val="00BA67DA"/>
    <w:rsid w:val="00BA6A75"/>
    <w:rsid w:val="00BA714C"/>
    <w:rsid w:val="00BA7491"/>
    <w:rsid w:val="00BB0643"/>
    <w:rsid w:val="00BB0F60"/>
    <w:rsid w:val="00BB1741"/>
    <w:rsid w:val="00BB18E2"/>
    <w:rsid w:val="00BB28C3"/>
    <w:rsid w:val="00BB3292"/>
    <w:rsid w:val="00BB36FB"/>
    <w:rsid w:val="00BB399D"/>
    <w:rsid w:val="00BB412E"/>
    <w:rsid w:val="00BB513D"/>
    <w:rsid w:val="00BB5246"/>
    <w:rsid w:val="00BB7311"/>
    <w:rsid w:val="00BB73EB"/>
    <w:rsid w:val="00BB79C9"/>
    <w:rsid w:val="00BC0342"/>
    <w:rsid w:val="00BC0837"/>
    <w:rsid w:val="00BC088E"/>
    <w:rsid w:val="00BC0DBD"/>
    <w:rsid w:val="00BC0EC3"/>
    <w:rsid w:val="00BC1F1F"/>
    <w:rsid w:val="00BC23AC"/>
    <w:rsid w:val="00BC37D1"/>
    <w:rsid w:val="00BC47B6"/>
    <w:rsid w:val="00BC5F3C"/>
    <w:rsid w:val="00BD0A68"/>
    <w:rsid w:val="00BD2DAD"/>
    <w:rsid w:val="00BD2E1D"/>
    <w:rsid w:val="00BD3822"/>
    <w:rsid w:val="00BD6245"/>
    <w:rsid w:val="00BD64B4"/>
    <w:rsid w:val="00BD7659"/>
    <w:rsid w:val="00BE12DE"/>
    <w:rsid w:val="00BE3567"/>
    <w:rsid w:val="00BE3BDB"/>
    <w:rsid w:val="00BE4002"/>
    <w:rsid w:val="00BE58C6"/>
    <w:rsid w:val="00BE5E31"/>
    <w:rsid w:val="00BE6606"/>
    <w:rsid w:val="00BE6ADD"/>
    <w:rsid w:val="00BF1E8A"/>
    <w:rsid w:val="00BF25EC"/>
    <w:rsid w:val="00BF691D"/>
    <w:rsid w:val="00BF70F3"/>
    <w:rsid w:val="00BF75CD"/>
    <w:rsid w:val="00BF76E8"/>
    <w:rsid w:val="00C0010C"/>
    <w:rsid w:val="00C0102F"/>
    <w:rsid w:val="00C011AE"/>
    <w:rsid w:val="00C01E71"/>
    <w:rsid w:val="00C0466F"/>
    <w:rsid w:val="00C05BF7"/>
    <w:rsid w:val="00C06492"/>
    <w:rsid w:val="00C06912"/>
    <w:rsid w:val="00C07591"/>
    <w:rsid w:val="00C10410"/>
    <w:rsid w:val="00C1202C"/>
    <w:rsid w:val="00C12207"/>
    <w:rsid w:val="00C14EAA"/>
    <w:rsid w:val="00C15128"/>
    <w:rsid w:val="00C15129"/>
    <w:rsid w:val="00C16492"/>
    <w:rsid w:val="00C167D6"/>
    <w:rsid w:val="00C1701F"/>
    <w:rsid w:val="00C20D38"/>
    <w:rsid w:val="00C21B0C"/>
    <w:rsid w:val="00C2208F"/>
    <w:rsid w:val="00C2236C"/>
    <w:rsid w:val="00C224D9"/>
    <w:rsid w:val="00C22A70"/>
    <w:rsid w:val="00C24422"/>
    <w:rsid w:val="00C24717"/>
    <w:rsid w:val="00C24816"/>
    <w:rsid w:val="00C248DB"/>
    <w:rsid w:val="00C25146"/>
    <w:rsid w:val="00C30E5F"/>
    <w:rsid w:val="00C30F1A"/>
    <w:rsid w:val="00C32327"/>
    <w:rsid w:val="00C325D7"/>
    <w:rsid w:val="00C33E07"/>
    <w:rsid w:val="00C3786A"/>
    <w:rsid w:val="00C37BB6"/>
    <w:rsid w:val="00C42C44"/>
    <w:rsid w:val="00C43CAE"/>
    <w:rsid w:val="00C46FA9"/>
    <w:rsid w:val="00C47925"/>
    <w:rsid w:val="00C50294"/>
    <w:rsid w:val="00C50FCB"/>
    <w:rsid w:val="00C510C9"/>
    <w:rsid w:val="00C514FF"/>
    <w:rsid w:val="00C51F73"/>
    <w:rsid w:val="00C52137"/>
    <w:rsid w:val="00C52503"/>
    <w:rsid w:val="00C5297F"/>
    <w:rsid w:val="00C52FE8"/>
    <w:rsid w:val="00C54EDF"/>
    <w:rsid w:val="00C54F46"/>
    <w:rsid w:val="00C5505E"/>
    <w:rsid w:val="00C55FAC"/>
    <w:rsid w:val="00C57C5C"/>
    <w:rsid w:val="00C602BC"/>
    <w:rsid w:val="00C603C5"/>
    <w:rsid w:val="00C61961"/>
    <w:rsid w:val="00C62658"/>
    <w:rsid w:val="00C64CF8"/>
    <w:rsid w:val="00C654A0"/>
    <w:rsid w:val="00C66F66"/>
    <w:rsid w:val="00C675BF"/>
    <w:rsid w:val="00C67E54"/>
    <w:rsid w:val="00C7024E"/>
    <w:rsid w:val="00C70D9A"/>
    <w:rsid w:val="00C70E61"/>
    <w:rsid w:val="00C736EC"/>
    <w:rsid w:val="00C753FF"/>
    <w:rsid w:val="00C75A1E"/>
    <w:rsid w:val="00C75DE8"/>
    <w:rsid w:val="00C7604D"/>
    <w:rsid w:val="00C77441"/>
    <w:rsid w:val="00C7748C"/>
    <w:rsid w:val="00C775CE"/>
    <w:rsid w:val="00C77810"/>
    <w:rsid w:val="00C80146"/>
    <w:rsid w:val="00C805EA"/>
    <w:rsid w:val="00C809DB"/>
    <w:rsid w:val="00C815E4"/>
    <w:rsid w:val="00C819BA"/>
    <w:rsid w:val="00C83418"/>
    <w:rsid w:val="00C867C9"/>
    <w:rsid w:val="00C868BE"/>
    <w:rsid w:val="00C868E0"/>
    <w:rsid w:val="00C87FA9"/>
    <w:rsid w:val="00C918D5"/>
    <w:rsid w:val="00C92438"/>
    <w:rsid w:val="00C93E69"/>
    <w:rsid w:val="00C94013"/>
    <w:rsid w:val="00C94097"/>
    <w:rsid w:val="00C94459"/>
    <w:rsid w:val="00C95117"/>
    <w:rsid w:val="00C96974"/>
    <w:rsid w:val="00C97003"/>
    <w:rsid w:val="00CA09A7"/>
    <w:rsid w:val="00CA1085"/>
    <w:rsid w:val="00CA1122"/>
    <w:rsid w:val="00CA2D08"/>
    <w:rsid w:val="00CA379D"/>
    <w:rsid w:val="00CA4EFC"/>
    <w:rsid w:val="00CA5254"/>
    <w:rsid w:val="00CA532D"/>
    <w:rsid w:val="00CA62C2"/>
    <w:rsid w:val="00CA6956"/>
    <w:rsid w:val="00CA6EF0"/>
    <w:rsid w:val="00CA79B4"/>
    <w:rsid w:val="00CB0B17"/>
    <w:rsid w:val="00CB0D1D"/>
    <w:rsid w:val="00CB1525"/>
    <w:rsid w:val="00CB1C82"/>
    <w:rsid w:val="00CB1DCB"/>
    <w:rsid w:val="00CB75E2"/>
    <w:rsid w:val="00CB7A3D"/>
    <w:rsid w:val="00CC2473"/>
    <w:rsid w:val="00CC2623"/>
    <w:rsid w:val="00CC281C"/>
    <w:rsid w:val="00CC2DD6"/>
    <w:rsid w:val="00CC3577"/>
    <w:rsid w:val="00CC4CE9"/>
    <w:rsid w:val="00CC5739"/>
    <w:rsid w:val="00CC5B11"/>
    <w:rsid w:val="00CC6366"/>
    <w:rsid w:val="00CD0CC7"/>
    <w:rsid w:val="00CD0D2B"/>
    <w:rsid w:val="00CD0D2D"/>
    <w:rsid w:val="00CD115B"/>
    <w:rsid w:val="00CD4A93"/>
    <w:rsid w:val="00CD4EB6"/>
    <w:rsid w:val="00CD52B6"/>
    <w:rsid w:val="00CD535C"/>
    <w:rsid w:val="00CD5634"/>
    <w:rsid w:val="00CD7666"/>
    <w:rsid w:val="00CE09F6"/>
    <w:rsid w:val="00CE0A54"/>
    <w:rsid w:val="00CE0BA0"/>
    <w:rsid w:val="00CE0BE6"/>
    <w:rsid w:val="00CE153C"/>
    <w:rsid w:val="00CE1F6B"/>
    <w:rsid w:val="00CE214C"/>
    <w:rsid w:val="00CE248C"/>
    <w:rsid w:val="00CE3237"/>
    <w:rsid w:val="00CE3926"/>
    <w:rsid w:val="00CE43D9"/>
    <w:rsid w:val="00CE5958"/>
    <w:rsid w:val="00CE5D69"/>
    <w:rsid w:val="00CE6B2D"/>
    <w:rsid w:val="00CE6E0D"/>
    <w:rsid w:val="00CE700E"/>
    <w:rsid w:val="00CE7149"/>
    <w:rsid w:val="00CE719C"/>
    <w:rsid w:val="00CE7DC5"/>
    <w:rsid w:val="00CF043C"/>
    <w:rsid w:val="00CF0719"/>
    <w:rsid w:val="00CF0FC7"/>
    <w:rsid w:val="00CF1120"/>
    <w:rsid w:val="00CF1870"/>
    <w:rsid w:val="00CF19CB"/>
    <w:rsid w:val="00CF1BFD"/>
    <w:rsid w:val="00CF1DA8"/>
    <w:rsid w:val="00CF4BF4"/>
    <w:rsid w:val="00CF51E6"/>
    <w:rsid w:val="00CF52F0"/>
    <w:rsid w:val="00CF533F"/>
    <w:rsid w:val="00CF5F72"/>
    <w:rsid w:val="00CF60D0"/>
    <w:rsid w:val="00CF63A3"/>
    <w:rsid w:val="00D007F9"/>
    <w:rsid w:val="00D0124E"/>
    <w:rsid w:val="00D02826"/>
    <w:rsid w:val="00D035DC"/>
    <w:rsid w:val="00D03A47"/>
    <w:rsid w:val="00D0438F"/>
    <w:rsid w:val="00D04C4D"/>
    <w:rsid w:val="00D04EF4"/>
    <w:rsid w:val="00D062DA"/>
    <w:rsid w:val="00D0639A"/>
    <w:rsid w:val="00D06B73"/>
    <w:rsid w:val="00D07C68"/>
    <w:rsid w:val="00D1127C"/>
    <w:rsid w:val="00D116CD"/>
    <w:rsid w:val="00D1217A"/>
    <w:rsid w:val="00D124C4"/>
    <w:rsid w:val="00D12849"/>
    <w:rsid w:val="00D13C2D"/>
    <w:rsid w:val="00D14028"/>
    <w:rsid w:val="00D17426"/>
    <w:rsid w:val="00D176D7"/>
    <w:rsid w:val="00D17A53"/>
    <w:rsid w:val="00D202E0"/>
    <w:rsid w:val="00D206CB"/>
    <w:rsid w:val="00D2281F"/>
    <w:rsid w:val="00D2380A"/>
    <w:rsid w:val="00D23A37"/>
    <w:rsid w:val="00D246A7"/>
    <w:rsid w:val="00D2617A"/>
    <w:rsid w:val="00D267EA"/>
    <w:rsid w:val="00D26870"/>
    <w:rsid w:val="00D26CDF"/>
    <w:rsid w:val="00D30764"/>
    <w:rsid w:val="00D30911"/>
    <w:rsid w:val="00D31D5F"/>
    <w:rsid w:val="00D31FEA"/>
    <w:rsid w:val="00D322BC"/>
    <w:rsid w:val="00D325F9"/>
    <w:rsid w:val="00D34E04"/>
    <w:rsid w:val="00D34E23"/>
    <w:rsid w:val="00D353EE"/>
    <w:rsid w:val="00D36B41"/>
    <w:rsid w:val="00D36B73"/>
    <w:rsid w:val="00D37A2D"/>
    <w:rsid w:val="00D4095A"/>
    <w:rsid w:val="00D41226"/>
    <w:rsid w:val="00D4336A"/>
    <w:rsid w:val="00D44AC5"/>
    <w:rsid w:val="00D45677"/>
    <w:rsid w:val="00D50281"/>
    <w:rsid w:val="00D50B3E"/>
    <w:rsid w:val="00D51B19"/>
    <w:rsid w:val="00D5334D"/>
    <w:rsid w:val="00D536F9"/>
    <w:rsid w:val="00D53959"/>
    <w:rsid w:val="00D54093"/>
    <w:rsid w:val="00D5452A"/>
    <w:rsid w:val="00D547CC"/>
    <w:rsid w:val="00D564C3"/>
    <w:rsid w:val="00D573E2"/>
    <w:rsid w:val="00D60855"/>
    <w:rsid w:val="00D61997"/>
    <w:rsid w:val="00D61F08"/>
    <w:rsid w:val="00D6281F"/>
    <w:rsid w:val="00D6282D"/>
    <w:rsid w:val="00D62A41"/>
    <w:rsid w:val="00D62F2A"/>
    <w:rsid w:val="00D63452"/>
    <w:rsid w:val="00D64923"/>
    <w:rsid w:val="00D66441"/>
    <w:rsid w:val="00D670E9"/>
    <w:rsid w:val="00D6796D"/>
    <w:rsid w:val="00D67F11"/>
    <w:rsid w:val="00D67F35"/>
    <w:rsid w:val="00D71ACC"/>
    <w:rsid w:val="00D725DA"/>
    <w:rsid w:val="00D7430C"/>
    <w:rsid w:val="00D747D6"/>
    <w:rsid w:val="00D75159"/>
    <w:rsid w:val="00D75358"/>
    <w:rsid w:val="00D75620"/>
    <w:rsid w:val="00D75CFF"/>
    <w:rsid w:val="00D75E20"/>
    <w:rsid w:val="00D764AC"/>
    <w:rsid w:val="00D76558"/>
    <w:rsid w:val="00D76E87"/>
    <w:rsid w:val="00D77430"/>
    <w:rsid w:val="00D80012"/>
    <w:rsid w:val="00D806B1"/>
    <w:rsid w:val="00D819EB"/>
    <w:rsid w:val="00D81B66"/>
    <w:rsid w:val="00D83183"/>
    <w:rsid w:val="00D83605"/>
    <w:rsid w:val="00D84420"/>
    <w:rsid w:val="00D87769"/>
    <w:rsid w:val="00D87B5C"/>
    <w:rsid w:val="00D90ACF"/>
    <w:rsid w:val="00D90B88"/>
    <w:rsid w:val="00D9110B"/>
    <w:rsid w:val="00D92797"/>
    <w:rsid w:val="00D94EB9"/>
    <w:rsid w:val="00D95200"/>
    <w:rsid w:val="00DA1830"/>
    <w:rsid w:val="00DA1E5A"/>
    <w:rsid w:val="00DA2CB1"/>
    <w:rsid w:val="00DA3933"/>
    <w:rsid w:val="00DA4426"/>
    <w:rsid w:val="00DA4592"/>
    <w:rsid w:val="00DA470B"/>
    <w:rsid w:val="00DA488C"/>
    <w:rsid w:val="00DA7C50"/>
    <w:rsid w:val="00DB0029"/>
    <w:rsid w:val="00DB09E1"/>
    <w:rsid w:val="00DB0F9C"/>
    <w:rsid w:val="00DB17E7"/>
    <w:rsid w:val="00DB1FE0"/>
    <w:rsid w:val="00DB20BC"/>
    <w:rsid w:val="00DB27CB"/>
    <w:rsid w:val="00DB3059"/>
    <w:rsid w:val="00DB47A3"/>
    <w:rsid w:val="00DB47D9"/>
    <w:rsid w:val="00DB5048"/>
    <w:rsid w:val="00DC099E"/>
    <w:rsid w:val="00DC0C4B"/>
    <w:rsid w:val="00DC1279"/>
    <w:rsid w:val="00DC5A37"/>
    <w:rsid w:val="00DC652F"/>
    <w:rsid w:val="00DC65DB"/>
    <w:rsid w:val="00DC7263"/>
    <w:rsid w:val="00DD01BE"/>
    <w:rsid w:val="00DD0D9C"/>
    <w:rsid w:val="00DD14C0"/>
    <w:rsid w:val="00DD1E68"/>
    <w:rsid w:val="00DD2082"/>
    <w:rsid w:val="00DD3E4C"/>
    <w:rsid w:val="00DD48A0"/>
    <w:rsid w:val="00DD6265"/>
    <w:rsid w:val="00DD694D"/>
    <w:rsid w:val="00DE0BFC"/>
    <w:rsid w:val="00DE1654"/>
    <w:rsid w:val="00DE1D91"/>
    <w:rsid w:val="00DE2611"/>
    <w:rsid w:val="00DE3275"/>
    <w:rsid w:val="00DE3EA8"/>
    <w:rsid w:val="00DE4141"/>
    <w:rsid w:val="00DE4D6C"/>
    <w:rsid w:val="00DE501A"/>
    <w:rsid w:val="00DE58BB"/>
    <w:rsid w:val="00DE7160"/>
    <w:rsid w:val="00DE71DE"/>
    <w:rsid w:val="00DE7706"/>
    <w:rsid w:val="00DE794A"/>
    <w:rsid w:val="00DE7D1F"/>
    <w:rsid w:val="00DF173F"/>
    <w:rsid w:val="00DF1A81"/>
    <w:rsid w:val="00DF1B60"/>
    <w:rsid w:val="00DF2DC5"/>
    <w:rsid w:val="00DF31A7"/>
    <w:rsid w:val="00DF350D"/>
    <w:rsid w:val="00DF3D20"/>
    <w:rsid w:val="00DF3DDD"/>
    <w:rsid w:val="00DF5EF3"/>
    <w:rsid w:val="00DF6A08"/>
    <w:rsid w:val="00DF6C91"/>
    <w:rsid w:val="00DF6ED7"/>
    <w:rsid w:val="00E01351"/>
    <w:rsid w:val="00E01422"/>
    <w:rsid w:val="00E01CF9"/>
    <w:rsid w:val="00E01EA7"/>
    <w:rsid w:val="00E03DC7"/>
    <w:rsid w:val="00E0481E"/>
    <w:rsid w:val="00E04B9D"/>
    <w:rsid w:val="00E0679E"/>
    <w:rsid w:val="00E06CFE"/>
    <w:rsid w:val="00E072B2"/>
    <w:rsid w:val="00E0790A"/>
    <w:rsid w:val="00E07B7F"/>
    <w:rsid w:val="00E10AB3"/>
    <w:rsid w:val="00E10B61"/>
    <w:rsid w:val="00E1165A"/>
    <w:rsid w:val="00E11B47"/>
    <w:rsid w:val="00E11C08"/>
    <w:rsid w:val="00E1356D"/>
    <w:rsid w:val="00E153B0"/>
    <w:rsid w:val="00E15787"/>
    <w:rsid w:val="00E15CD2"/>
    <w:rsid w:val="00E179D3"/>
    <w:rsid w:val="00E209B3"/>
    <w:rsid w:val="00E21707"/>
    <w:rsid w:val="00E22EE9"/>
    <w:rsid w:val="00E23815"/>
    <w:rsid w:val="00E242FD"/>
    <w:rsid w:val="00E2484E"/>
    <w:rsid w:val="00E24945"/>
    <w:rsid w:val="00E24F79"/>
    <w:rsid w:val="00E27F0B"/>
    <w:rsid w:val="00E3066C"/>
    <w:rsid w:val="00E311B0"/>
    <w:rsid w:val="00E3169C"/>
    <w:rsid w:val="00E31955"/>
    <w:rsid w:val="00E32781"/>
    <w:rsid w:val="00E32F75"/>
    <w:rsid w:val="00E338C6"/>
    <w:rsid w:val="00E34C77"/>
    <w:rsid w:val="00E36DB5"/>
    <w:rsid w:val="00E372A1"/>
    <w:rsid w:val="00E37B59"/>
    <w:rsid w:val="00E4054D"/>
    <w:rsid w:val="00E4208D"/>
    <w:rsid w:val="00E43229"/>
    <w:rsid w:val="00E44E39"/>
    <w:rsid w:val="00E45A36"/>
    <w:rsid w:val="00E45ACE"/>
    <w:rsid w:val="00E467AF"/>
    <w:rsid w:val="00E4731C"/>
    <w:rsid w:val="00E47700"/>
    <w:rsid w:val="00E51379"/>
    <w:rsid w:val="00E51860"/>
    <w:rsid w:val="00E51F7E"/>
    <w:rsid w:val="00E5208C"/>
    <w:rsid w:val="00E529D8"/>
    <w:rsid w:val="00E52CEB"/>
    <w:rsid w:val="00E54C00"/>
    <w:rsid w:val="00E5544E"/>
    <w:rsid w:val="00E55D23"/>
    <w:rsid w:val="00E55F62"/>
    <w:rsid w:val="00E5632B"/>
    <w:rsid w:val="00E57406"/>
    <w:rsid w:val="00E60738"/>
    <w:rsid w:val="00E6141B"/>
    <w:rsid w:val="00E61B80"/>
    <w:rsid w:val="00E62212"/>
    <w:rsid w:val="00E62A7D"/>
    <w:rsid w:val="00E62AF5"/>
    <w:rsid w:val="00E6302E"/>
    <w:rsid w:val="00E63292"/>
    <w:rsid w:val="00E632A3"/>
    <w:rsid w:val="00E64F04"/>
    <w:rsid w:val="00E660F6"/>
    <w:rsid w:val="00E664EB"/>
    <w:rsid w:val="00E66FD9"/>
    <w:rsid w:val="00E70669"/>
    <w:rsid w:val="00E721FF"/>
    <w:rsid w:val="00E72EAA"/>
    <w:rsid w:val="00E731C0"/>
    <w:rsid w:val="00E73A9C"/>
    <w:rsid w:val="00E73EB7"/>
    <w:rsid w:val="00E74442"/>
    <w:rsid w:val="00E745A6"/>
    <w:rsid w:val="00E76F7E"/>
    <w:rsid w:val="00E770AC"/>
    <w:rsid w:val="00E819BC"/>
    <w:rsid w:val="00E82DA1"/>
    <w:rsid w:val="00E84405"/>
    <w:rsid w:val="00E84496"/>
    <w:rsid w:val="00E860BA"/>
    <w:rsid w:val="00E862E8"/>
    <w:rsid w:val="00E868DF"/>
    <w:rsid w:val="00E869F5"/>
    <w:rsid w:val="00E8753C"/>
    <w:rsid w:val="00E92B40"/>
    <w:rsid w:val="00E92C9E"/>
    <w:rsid w:val="00E94192"/>
    <w:rsid w:val="00E95569"/>
    <w:rsid w:val="00E96B38"/>
    <w:rsid w:val="00E96F89"/>
    <w:rsid w:val="00E971B3"/>
    <w:rsid w:val="00E973C2"/>
    <w:rsid w:val="00E97A79"/>
    <w:rsid w:val="00EA0613"/>
    <w:rsid w:val="00EA3DAD"/>
    <w:rsid w:val="00EA411F"/>
    <w:rsid w:val="00EA51E6"/>
    <w:rsid w:val="00EA5FEA"/>
    <w:rsid w:val="00EA6246"/>
    <w:rsid w:val="00EB10A8"/>
    <w:rsid w:val="00EB1722"/>
    <w:rsid w:val="00EB1BE1"/>
    <w:rsid w:val="00EB2FEC"/>
    <w:rsid w:val="00EB373A"/>
    <w:rsid w:val="00EB3ED6"/>
    <w:rsid w:val="00EB7C6A"/>
    <w:rsid w:val="00EB7D7B"/>
    <w:rsid w:val="00EC03E7"/>
    <w:rsid w:val="00EC04E6"/>
    <w:rsid w:val="00EC13E0"/>
    <w:rsid w:val="00EC1749"/>
    <w:rsid w:val="00EC210F"/>
    <w:rsid w:val="00EC24B5"/>
    <w:rsid w:val="00EC2E13"/>
    <w:rsid w:val="00EC5CA1"/>
    <w:rsid w:val="00EC5FA8"/>
    <w:rsid w:val="00EC631E"/>
    <w:rsid w:val="00EC6D69"/>
    <w:rsid w:val="00ED156C"/>
    <w:rsid w:val="00ED2495"/>
    <w:rsid w:val="00ED29D5"/>
    <w:rsid w:val="00ED2BA0"/>
    <w:rsid w:val="00ED2E3A"/>
    <w:rsid w:val="00ED3A4A"/>
    <w:rsid w:val="00ED473D"/>
    <w:rsid w:val="00ED76D3"/>
    <w:rsid w:val="00EE0B7D"/>
    <w:rsid w:val="00EE429C"/>
    <w:rsid w:val="00EE49B7"/>
    <w:rsid w:val="00EE59C6"/>
    <w:rsid w:val="00EE5B55"/>
    <w:rsid w:val="00EE6848"/>
    <w:rsid w:val="00EE6FF3"/>
    <w:rsid w:val="00EF0F0D"/>
    <w:rsid w:val="00EF1AFF"/>
    <w:rsid w:val="00EF1F38"/>
    <w:rsid w:val="00EF26BA"/>
    <w:rsid w:val="00EF2C5A"/>
    <w:rsid w:val="00EF2D71"/>
    <w:rsid w:val="00EF328B"/>
    <w:rsid w:val="00EF3F94"/>
    <w:rsid w:val="00EF405F"/>
    <w:rsid w:val="00EF4F3F"/>
    <w:rsid w:val="00EF5890"/>
    <w:rsid w:val="00EF6064"/>
    <w:rsid w:val="00EF7C00"/>
    <w:rsid w:val="00F03220"/>
    <w:rsid w:val="00F04BAA"/>
    <w:rsid w:val="00F04CD1"/>
    <w:rsid w:val="00F04E2E"/>
    <w:rsid w:val="00F04F5C"/>
    <w:rsid w:val="00F05742"/>
    <w:rsid w:val="00F06BBD"/>
    <w:rsid w:val="00F07B63"/>
    <w:rsid w:val="00F07DDC"/>
    <w:rsid w:val="00F07E4A"/>
    <w:rsid w:val="00F10986"/>
    <w:rsid w:val="00F11356"/>
    <w:rsid w:val="00F11929"/>
    <w:rsid w:val="00F11B8E"/>
    <w:rsid w:val="00F1381B"/>
    <w:rsid w:val="00F1384A"/>
    <w:rsid w:val="00F14570"/>
    <w:rsid w:val="00F145E3"/>
    <w:rsid w:val="00F14FB2"/>
    <w:rsid w:val="00F1524A"/>
    <w:rsid w:val="00F154C5"/>
    <w:rsid w:val="00F156B3"/>
    <w:rsid w:val="00F15AFA"/>
    <w:rsid w:val="00F20C7E"/>
    <w:rsid w:val="00F235BB"/>
    <w:rsid w:val="00F23A56"/>
    <w:rsid w:val="00F24241"/>
    <w:rsid w:val="00F26185"/>
    <w:rsid w:val="00F26BC9"/>
    <w:rsid w:val="00F26C5C"/>
    <w:rsid w:val="00F27460"/>
    <w:rsid w:val="00F27778"/>
    <w:rsid w:val="00F301F8"/>
    <w:rsid w:val="00F30E56"/>
    <w:rsid w:val="00F32203"/>
    <w:rsid w:val="00F33380"/>
    <w:rsid w:val="00F351C9"/>
    <w:rsid w:val="00F40475"/>
    <w:rsid w:val="00F40558"/>
    <w:rsid w:val="00F4388B"/>
    <w:rsid w:val="00F46F3D"/>
    <w:rsid w:val="00F503A5"/>
    <w:rsid w:val="00F503B1"/>
    <w:rsid w:val="00F50425"/>
    <w:rsid w:val="00F50FB7"/>
    <w:rsid w:val="00F510AD"/>
    <w:rsid w:val="00F52830"/>
    <w:rsid w:val="00F52B38"/>
    <w:rsid w:val="00F53042"/>
    <w:rsid w:val="00F54054"/>
    <w:rsid w:val="00F54A62"/>
    <w:rsid w:val="00F55A53"/>
    <w:rsid w:val="00F56C19"/>
    <w:rsid w:val="00F56C70"/>
    <w:rsid w:val="00F60156"/>
    <w:rsid w:val="00F61103"/>
    <w:rsid w:val="00F648BD"/>
    <w:rsid w:val="00F66147"/>
    <w:rsid w:val="00F6636A"/>
    <w:rsid w:val="00F66767"/>
    <w:rsid w:val="00F66849"/>
    <w:rsid w:val="00F67864"/>
    <w:rsid w:val="00F72147"/>
    <w:rsid w:val="00F72A16"/>
    <w:rsid w:val="00F7323B"/>
    <w:rsid w:val="00F75275"/>
    <w:rsid w:val="00F763D0"/>
    <w:rsid w:val="00F773D9"/>
    <w:rsid w:val="00F80751"/>
    <w:rsid w:val="00F808B3"/>
    <w:rsid w:val="00F818BB"/>
    <w:rsid w:val="00F81E41"/>
    <w:rsid w:val="00F82C11"/>
    <w:rsid w:val="00F82C81"/>
    <w:rsid w:val="00F834C9"/>
    <w:rsid w:val="00F83EFE"/>
    <w:rsid w:val="00F845DE"/>
    <w:rsid w:val="00F8571F"/>
    <w:rsid w:val="00F8746A"/>
    <w:rsid w:val="00F87478"/>
    <w:rsid w:val="00F902D5"/>
    <w:rsid w:val="00F91298"/>
    <w:rsid w:val="00F912AB"/>
    <w:rsid w:val="00F91C1C"/>
    <w:rsid w:val="00F91FD4"/>
    <w:rsid w:val="00F92F70"/>
    <w:rsid w:val="00F938E4"/>
    <w:rsid w:val="00F9545D"/>
    <w:rsid w:val="00F95597"/>
    <w:rsid w:val="00F95F94"/>
    <w:rsid w:val="00F9666D"/>
    <w:rsid w:val="00F9742F"/>
    <w:rsid w:val="00FA3FFB"/>
    <w:rsid w:val="00FA5A8E"/>
    <w:rsid w:val="00FA6353"/>
    <w:rsid w:val="00FA6B6F"/>
    <w:rsid w:val="00FA7182"/>
    <w:rsid w:val="00FA729E"/>
    <w:rsid w:val="00FA7EEE"/>
    <w:rsid w:val="00FB0791"/>
    <w:rsid w:val="00FB0A7A"/>
    <w:rsid w:val="00FB0A85"/>
    <w:rsid w:val="00FB0D46"/>
    <w:rsid w:val="00FB2092"/>
    <w:rsid w:val="00FB20B8"/>
    <w:rsid w:val="00FB32C4"/>
    <w:rsid w:val="00FB4070"/>
    <w:rsid w:val="00FB55D8"/>
    <w:rsid w:val="00FB5F54"/>
    <w:rsid w:val="00FB66DF"/>
    <w:rsid w:val="00FB6FBE"/>
    <w:rsid w:val="00FB7AC0"/>
    <w:rsid w:val="00FC055E"/>
    <w:rsid w:val="00FC153E"/>
    <w:rsid w:val="00FC2A4E"/>
    <w:rsid w:val="00FC3525"/>
    <w:rsid w:val="00FC535E"/>
    <w:rsid w:val="00FC56F4"/>
    <w:rsid w:val="00FC5860"/>
    <w:rsid w:val="00FC627A"/>
    <w:rsid w:val="00FC720A"/>
    <w:rsid w:val="00FD0047"/>
    <w:rsid w:val="00FD23EA"/>
    <w:rsid w:val="00FD2D41"/>
    <w:rsid w:val="00FD35AC"/>
    <w:rsid w:val="00FD3886"/>
    <w:rsid w:val="00FD3FB1"/>
    <w:rsid w:val="00FD6266"/>
    <w:rsid w:val="00FD66E0"/>
    <w:rsid w:val="00FD71CC"/>
    <w:rsid w:val="00FD7F68"/>
    <w:rsid w:val="00FE06FA"/>
    <w:rsid w:val="00FE0B96"/>
    <w:rsid w:val="00FE1604"/>
    <w:rsid w:val="00FE3109"/>
    <w:rsid w:val="00FE3AD2"/>
    <w:rsid w:val="00FE3ED7"/>
    <w:rsid w:val="00FE4788"/>
    <w:rsid w:val="00FE4BDE"/>
    <w:rsid w:val="00FE4F85"/>
    <w:rsid w:val="00FE62C9"/>
    <w:rsid w:val="00FE6D76"/>
    <w:rsid w:val="00FE7DF0"/>
    <w:rsid w:val="00FF03E7"/>
    <w:rsid w:val="00FF3F06"/>
    <w:rsid w:val="00FF486C"/>
    <w:rsid w:val="00FF4FDE"/>
    <w:rsid w:val="00FF5F93"/>
    <w:rsid w:val="00FF6098"/>
    <w:rsid w:val="00FF64F9"/>
    <w:rsid w:val="00FF6746"/>
    <w:rsid w:val="00FF74B3"/>
    <w:rsid w:val="00FF7588"/>
    <w:rsid w:val="01053A2F"/>
    <w:rsid w:val="01664EFE"/>
    <w:rsid w:val="018757A5"/>
    <w:rsid w:val="01BC3B4A"/>
    <w:rsid w:val="01CC503B"/>
    <w:rsid w:val="01ED779F"/>
    <w:rsid w:val="02271238"/>
    <w:rsid w:val="02357F86"/>
    <w:rsid w:val="0241242E"/>
    <w:rsid w:val="025F32A0"/>
    <w:rsid w:val="026D1C76"/>
    <w:rsid w:val="02DC04DD"/>
    <w:rsid w:val="033029ED"/>
    <w:rsid w:val="03447E4C"/>
    <w:rsid w:val="034509B3"/>
    <w:rsid w:val="03563CB7"/>
    <w:rsid w:val="036F14CF"/>
    <w:rsid w:val="03BE28E5"/>
    <w:rsid w:val="03D46F1E"/>
    <w:rsid w:val="04155DD9"/>
    <w:rsid w:val="041D0085"/>
    <w:rsid w:val="042042C5"/>
    <w:rsid w:val="043E4B06"/>
    <w:rsid w:val="04561DA2"/>
    <w:rsid w:val="045C62D2"/>
    <w:rsid w:val="04616F69"/>
    <w:rsid w:val="047F77AA"/>
    <w:rsid w:val="049E1419"/>
    <w:rsid w:val="05233FD8"/>
    <w:rsid w:val="055F03A8"/>
    <w:rsid w:val="058D7704"/>
    <w:rsid w:val="05D57819"/>
    <w:rsid w:val="066A70A8"/>
    <w:rsid w:val="066D2D6F"/>
    <w:rsid w:val="06715E6D"/>
    <w:rsid w:val="06BD4171"/>
    <w:rsid w:val="072609C4"/>
    <w:rsid w:val="074435B8"/>
    <w:rsid w:val="074D31C9"/>
    <w:rsid w:val="07545FEB"/>
    <w:rsid w:val="076F301C"/>
    <w:rsid w:val="079B7964"/>
    <w:rsid w:val="07EA0B35"/>
    <w:rsid w:val="0821130C"/>
    <w:rsid w:val="08487816"/>
    <w:rsid w:val="086724C2"/>
    <w:rsid w:val="08752E31"/>
    <w:rsid w:val="087D0D63"/>
    <w:rsid w:val="089F176B"/>
    <w:rsid w:val="08E729FB"/>
    <w:rsid w:val="09606368"/>
    <w:rsid w:val="09894585"/>
    <w:rsid w:val="099A2B18"/>
    <w:rsid w:val="09A201EF"/>
    <w:rsid w:val="09AB63DF"/>
    <w:rsid w:val="09AD14E8"/>
    <w:rsid w:val="09D65845"/>
    <w:rsid w:val="09F84B71"/>
    <w:rsid w:val="09FF5DBD"/>
    <w:rsid w:val="0A5E769F"/>
    <w:rsid w:val="0A5F0931"/>
    <w:rsid w:val="0A8D61DA"/>
    <w:rsid w:val="0AD06F5C"/>
    <w:rsid w:val="0AD40FA3"/>
    <w:rsid w:val="0AEE0B7F"/>
    <w:rsid w:val="0AF337C6"/>
    <w:rsid w:val="0AF84D70"/>
    <w:rsid w:val="0B25669C"/>
    <w:rsid w:val="0BA75C4C"/>
    <w:rsid w:val="0C121174"/>
    <w:rsid w:val="0C1E19EC"/>
    <w:rsid w:val="0CC250B6"/>
    <w:rsid w:val="0CD83534"/>
    <w:rsid w:val="0CE045F1"/>
    <w:rsid w:val="0D4E25B9"/>
    <w:rsid w:val="0DE64E42"/>
    <w:rsid w:val="0DF330CB"/>
    <w:rsid w:val="0DFA6FBE"/>
    <w:rsid w:val="0DFE6B36"/>
    <w:rsid w:val="0E2A7C44"/>
    <w:rsid w:val="0EDC6906"/>
    <w:rsid w:val="0EDE5F0F"/>
    <w:rsid w:val="0F344143"/>
    <w:rsid w:val="0F62044E"/>
    <w:rsid w:val="0F6D253B"/>
    <w:rsid w:val="0F952835"/>
    <w:rsid w:val="0FB82A9F"/>
    <w:rsid w:val="0FD71DB4"/>
    <w:rsid w:val="101141D0"/>
    <w:rsid w:val="10136A1E"/>
    <w:rsid w:val="103858EF"/>
    <w:rsid w:val="103F5AD3"/>
    <w:rsid w:val="10F56CB8"/>
    <w:rsid w:val="11370B41"/>
    <w:rsid w:val="115B4A99"/>
    <w:rsid w:val="12450E2D"/>
    <w:rsid w:val="12B40067"/>
    <w:rsid w:val="12C8130A"/>
    <w:rsid w:val="12DE5A77"/>
    <w:rsid w:val="13484B0D"/>
    <w:rsid w:val="136258A9"/>
    <w:rsid w:val="13816B55"/>
    <w:rsid w:val="1424395D"/>
    <w:rsid w:val="14CA1493"/>
    <w:rsid w:val="14DB6BCA"/>
    <w:rsid w:val="15290E55"/>
    <w:rsid w:val="154964E2"/>
    <w:rsid w:val="15991CB6"/>
    <w:rsid w:val="15C854ED"/>
    <w:rsid w:val="15E82DE2"/>
    <w:rsid w:val="15ED2C95"/>
    <w:rsid w:val="15F640F5"/>
    <w:rsid w:val="1632576E"/>
    <w:rsid w:val="16824067"/>
    <w:rsid w:val="169257D9"/>
    <w:rsid w:val="16B96602"/>
    <w:rsid w:val="171E1D9E"/>
    <w:rsid w:val="176B27FB"/>
    <w:rsid w:val="17907D22"/>
    <w:rsid w:val="180A43E2"/>
    <w:rsid w:val="1813067D"/>
    <w:rsid w:val="181C6D72"/>
    <w:rsid w:val="18590CE8"/>
    <w:rsid w:val="18C50297"/>
    <w:rsid w:val="18D71EB5"/>
    <w:rsid w:val="18F55AEB"/>
    <w:rsid w:val="19486E8E"/>
    <w:rsid w:val="19573038"/>
    <w:rsid w:val="196409F1"/>
    <w:rsid w:val="19C5674E"/>
    <w:rsid w:val="19E51836"/>
    <w:rsid w:val="1B2A1B0C"/>
    <w:rsid w:val="1B454AA6"/>
    <w:rsid w:val="1BCB5E53"/>
    <w:rsid w:val="1BE8762E"/>
    <w:rsid w:val="1BF956CF"/>
    <w:rsid w:val="1C4934B8"/>
    <w:rsid w:val="1C797F46"/>
    <w:rsid w:val="1C7F5BD5"/>
    <w:rsid w:val="1D8316F5"/>
    <w:rsid w:val="1DAF03D3"/>
    <w:rsid w:val="1DB775F0"/>
    <w:rsid w:val="1E0714FC"/>
    <w:rsid w:val="1E40650E"/>
    <w:rsid w:val="1E786D7F"/>
    <w:rsid w:val="1EA537EB"/>
    <w:rsid w:val="1F732F6B"/>
    <w:rsid w:val="1FB45911"/>
    <w:rsid w:val="1FBF1121"/>
    <w:rsid w:val="1FC07AF1"/>
    <w:rsid w:val="204D6D8A"/>
    <w:rsid w:val="204F79BA"/>
    <w:rsid w:val="205F15B9"/>
    <w:rsid w:val="20785398"/>
    <w:rsid w:val="20A34BC0"/>
    <w:rsid w:val="20B42C8C"/>
    <w:rsid w:val="20F9060D"/>
    <w:rsid w:val="212B6073"/>
    <w:rsid w:val="21395F9C"/>
    <w:rsid w:val="217D4B5B"/>
    <w:rsid w:val="219E5AE5"/>
    <w:rsid w:val="21B60E0C"/>
    <w:rsid w:val="21C45639"/>
    <w:rsid w:val="21DE4090"/>
    <w:rsid w:val="22024CF4"/>
    <w:rsid w:val="22223F9F"/>
    <w:rsid w:val="22497EBF"/>
    <w:rsid w:val="22C30ED9"/>
    <w:rsid w:val="23547EC4"/>
    <w:rsid w:val="23793BAC"/>
    <w:rsid w:val="23887A65"/>
    <w:rsid w:val="23BB04A7"/>
    <w:rsid w:val="23E72E89"/>
    <w:rsid w:val="23E85F56"/>
    <w:rsid w:val="241513EB"/>
    <w:rsid w:val="243B5733"/>
    <w:rsid w:val="24844C15"/>
    <w:rsid w:val="248D6197"/>
    <w:rsid w:val="24D00FDB"/>
    <w:rsid w:val="253257F2"/>
    <w:rsid w:val="257C3051"/>
    <w:rsid w:val="258D0476"/>
    <w:rsid w:val="25AA03B3"/>
    <w:rsid w:val="25F504B2"/>
    <w:rsid w:val="25FA6BAC"/>
    <w:rsid w:val="262068E7"/>
    <w:rsid w:val="266B1F34"/>
    <w:rsid w:val="26817EF3"/>
    <w:rsid w:val="26E71F14"/>
    <w:rsid w:val="270E526E"/>
    <w:rsid w:val="271A1A8E"/>
    <w:rsid w:val="278F021C"/>
    <w:rsid w:val="27CE007F"/>
    <w:rsid w:val="27D6328B"/>
    <w:rsid w:val="27E04372"/>
    <w:rsid w:val="28143C53"/>
    <w:rsid w:val="28200B00"/>
    <w:rsid w:val="28977A37"/>
    <w:rsid w:val="28A12B72"/>
    <w:rsid w:val="28E15521"/>
    <w:rsid w:val="295647E3"/>
    <w:rsid w:val="29633328"/>
    <w:rsid w:val="29A26908"/>
    <w:rsid w:val="29D76B78"/>
    <w:rsid w:val="29E051E4"/>
    <w:rsid w:val="29E07445"/>
    <w:rsid w:val="29FC312D"/>
    <w:rsid w:val="2A5D1DE9"/>
    <w:rsid w:val="2A656B1B"/>
    <w:rsid w:val="2AA91689"/>
    <w:rsid w:val="2AFC4894"/>
    <w:rsid w:val="2B5F359E"/>
    <w:rsid w:val="2B8E0775"/>
    <w:rsid w:val="2B913F91"/>
    <w:rsid w:val="2B9774C3"/>
    <w:rsid w:val="2BA93FD0"/>
    <w:rsid w:val="2BE41DBC"/>
    <w:rsid w:val="2BF21B38"/>
    <w:rsid w:val="2C2240AA"/>
    <w:rsid w:val="2C331A5D"/>
    <w:rsid w:val="2C3F1E09"/>
    <w:rsid w:val="2C5769D4"/>
    <w:rsid w:val="2C6616AA"/>
    <w:rsid w:val="2C873490"/>
    <w:rsid w:val="2CBA349B"/>
    <w:rsid w:val="2D2104C1"/>
    <w:rsid w:val="2D373586"/>
    <w:rsid w:val="2D8F3CE1"/>
    <w:rsid w:val="2D9D20D4"/>
    <w:rsid w:val="2DB70974"/>
    <w:rsid w:val="2DC26174"/>
    <w:rsid w:val="2DCC186E"/>
    <w:rsid w:val="2DF3385B"/>
    <w:rsid w:val="2DFD4BAB"/>
    <w:rsid w:val="2ECF353D"/>
    <w:rsid w:val="2F520880"/>
    <w:rsid w:val="2F5F7B11"/>
    <w:rsid w:val="2F603644"/>
    <w:rsid w:val="2F647FE6"/>
    <w:rsid w:val="2F84702A"/>
    <w:rsid w:val="2FD5356B"/>
    <w:rsid w:val="2FEB2345"/>
    <w:rsid w:val="3028080E"/>
    <w:rsid w:val="305D285C"/>
    <w:rsid w:val="30777732"/>
    <w:rsid w:val="30B26F54"/>
    <w:rsid w:val="31534AEB"/>
    <w:rsid w:val="319A1F59"/>
    <w:rsid w:val="31AF49D9"/>
    <w:rsid w:val="31EA698A"/>
    <w:rsid w:val="31F51508"/>
    <w:rsid w:val="32EA05C6"/>
    <w:rsid w:val="334F31E4"/>
    <w:rsid w:val="339117A3"/>
    <w:rsid w:val="33A604B6"/>
    <w:rsid w:val="33F8570E"/>
    <w:rsid w:val="343936E3"/>
    <w:rsid w:val="34876833"/>
    <w:rsid w:val="34884B17"/>
    <w:rsid w:val="348D531D"/>
    <w:rsid w:val="34FE458E"/>
    <w:rsid w:val="352A658A"/>
    <w:rsid w:val="353510CF"/>
    <w:rsid w:val="3580447E"/>
    <w:rsid w:val="35A50710"/>
    <w:rsid w:val="35C24421"/>
    <w:rsid w:val="35D36CDF"/>
    <w:rsid w:val="362F1264"/>
    <w:rsid w:val="363F34AE"/>
    <w:rsid w:val="36FE476F"/>
    <w:rsid w:val="37150846"/>
    <w:rsid w:val="373763A4"/>
    <w:rsid w:val="375F4268"/>
    <w:rsid w:val="376D3247"/>
    <w:rsid w:val="378D591E"/>
    <w:rsid w:val="37E442A4"/>
    <w:rsid w:val="37E45701"/>
    <w:rsid w:val="38000DE1"/>
    <w:rsid w:val="38507FCD"/>
    <w:rsid w:val="38812AF1"/>
    <w:rsid w:val="38A1611E"/>
    <w:rsid w:val="38FE1EC1"/>
    <w:rsid w:val="392A502C"/>
    <w:rsid w:val="39DE492D"/>
    <w:rsid w:val="3A0E2334"/>
    <w:rsid w:val="3A5C7150"/>
    <w:rsid w:val="3AB96F64"/>
    <w:rsid w:val="3AC6358D"/>
    <w:rsid w:val="3B6110D0"/>
    <w:rsid w:val="3B9B2580"/>
    <w:rsid w:val="3BB17D96"/>
    <w:rsid w:val="3BC0025D"/>
    <w:rsid w:val="3C072946"/>
    <w:rsid w:val="3C2C7584"/>
    <w:rsid w:val="3C506CAB"/>
    <w:rsid w:val="3C721756"/>
    <w:rsid w:val="3C753C19"/>
    <w:rsid w:val="3C83440C"/>
    <w:rsid w:val="3CAE3557"/>
    <w:rsid w:val="3D4F32DE"/>
    <w:rsid w:val="3D773571"/>
    <w:rsid w:val="3D837DFB"/>
    <w:rsid w:val="3DAA0F22"/>
    <w:rsid w:val="3DDD20B7"/>
    <w:rsid w:val="3E37184E"/>
    <w:rsid w:val="3E4132D8"/>
    <w:rsid w:val="3E4739AB"/>
    <w:rsid w:val="3E7C231B"/>
    <w:rsid w:val="3E86299B"/>
    <w:rsid w:val="3E8F5F25"/>
    <w:rsid w:val="3EA71D27"/>
    <w:rsid w:val="3EFC0C92"/>
    <w:rsid w:val="3F172BE7"/>
    <w:rsid w:val="3F1E139C"/>
    <w:rsid w:val="3F3146B5"/>
    <w:rsid w:val="3F413681"/>
    <w:rsid w:val="3F7E756C"/>
    <w:rsid w:val="3FB1789A"/>
    <w:rsid w:val="400E2E95"/>
    <w:rsid w:val="401F59B7"/>
    <w:rsid w:val="403E7B5E"/>
    <w:rsid w:val="40555E2A"/>
    <w:rsid w:val="405A40DF"/>
    <w:rsid w:val="40B3541D"/>
    <w:rsid w:val="40DB38F6"/>
    <w:rsid w:val="40EA3CD3"/>
    <w:rsid w:val="41141625"/>
    <w:rsid w:val="41192762"/>
    <w:rsid w:val="413606A8"/>
    <w:rsid w:val="41550685"/>
    <w:rsid w:val="41772F5E"/>
    <w:rsid w:val="41B8321F"/>
    <w:rsid w:val="41E42BCA"/>
    <w:rsid w:val="42CF6A76"/>
    <w:rsid w:val="42DA2220"/>
    <w:rsid w:val="43176673"/>
    <w:rsid w:val="43673AE5"/>
    <w:rsid w:val="4368751A"/>
    <w:rsid w:val="438144EC"/>
    <w:rsid w:val="44061627"/>
    <w:rsid w:val="444757BF"/>
    <w:rsid w:val="44A96F6E"/>
    <w:rsid w:val="44F27DD0"/>
    <w:rsid w:val="44FC4AB2"/>
    <w:rsid w:val="45240818"/>
    <w:rsid w:val="452F6AA6"/>
    <w:rsid w:val="457C572A"/>
    <w:rsid w:val="45962D37"/>
    <w:rsid w:val="468F31A5"/>
    <w:rsid w:val="46A72D33"/>
    <w:rsid w:val="46AA125E"/>
    <w:rsid w:val="46CD3EA7"/>
    <w:rsid w:val="474524CD"/>
    <w:rsid w:val="477C47EC"/>
    <w:rsid w:val="478C7274"/>
    <w:rsid w:val="47A957CE"/>
    <w:rsid w:val="48084EF4"/>
    <w:rsid w:val="481E5684"/>
    <w:rsid w:val="4821185A"/>
    <w:rsid w:val="48582984"/>
    <w:rsid w:val="48B250B3"/>
    <w:rsid w:val="48E776F6"/>
    <w:rsid w:val="496A5C71"/>
    <w:rsid w:val="496D2331"/>
    <w:rsid w:val="498A473E"/>
    <w:rsid w:val="498B4F2F"/>
    <w:rsid w:val="498B5065"/>
    <w:rsid w:val="49E72ABF"/>
    <w:rsid w:val="49EF6C39"/>
    <w:rsid w:val="4A49696A"/>
    <w:rsid w:val="4A520924"/>
    <w:rsid w:val="4A577D71"/>
    <w:rsid w:val="4A8B5BEA"/>
    <w:rsid w:val="4A8F3B62"/>
    <w:rsid w:val="4A9B157C"/>
    <w:rsid w:val="4AFC08ED"/>
    <w:rsid w:val="4B0567F2"/>
    <w:rsid w:val="4B5343FB"/>
    <w:rsid w:val="4B543FF9"/>
    <w:rsid w:val="4B6C4CCF"/>
    <w:rsid w:val="4B8C58E0"/>
    <w:rsid w:val="4B9E0FBF"/>
    <w:rsid w:val="4BB654FA"/>
    <w:rsid w:val="4BD06B55"/>
    <w:rsid w:val="4BE03A50"/>
    <w:rsid w:val="4BEB0EC6"/>
    <w:rsid w:val="4C436F8C"/>
    <w:rsid w:val="4CA22217"/>
    <w:rsid w:val="4CE07269"/>
    <w:rsid w:val="4D126835"/>
    <w:rsid w:val="4D725877"/>
    <w:rsid w:val="4D9F4172"/>
    <w:rsid w:val="4DC0176C"/>
    <w:rsid w:val="4DDA5627"/>
    <w:rsid w:val="4E2117FF"/>
    <w:rsid w:val="4E7D3A1C"/>
    <w:rsid w:val="4ED904BC"/>
    <w:rsid w:val="4EDD3186"/>
    <w:rsid w:val="4EF72826"/>
    <w:rsid w:val="4EFA2A26"/>
    <w:rsid w:val="4F033E58"/>
    <w:rsid w:val="4F0763BB"/>
    <w:rsid w:val="4F0A475A"/>
    <w:rsid w:val="4F6475E9"/>
    <w:rsid w:val="4FBD5D50"/>
    <w:rsid w:val="4FE8544C"/>
    <w:rsid w:val="50101EBD"/>
    <w:rsid w:val="502E06B2"/>
    <w:rsid w:val="50391F07"/>
    <w:rsid w:val="506410FC"/>
    <w:rsid w:val="507A4A33"/>
    <w:rsid w:val="50D55141"/>
    <w:rsid w:val="50E579F5"/>
    <w:rsid w:val="50F91401"/>
    <w:rsid w:val="513F09B4"/>
    <w:rsid w:val="515970B1"/>
    <w:rsid w:val="516659CF"/>
    <w:rsid w:val="51A32F4D"/>
    <w:rsid w:val="51C7201E"/>
    <w:rsid w:val="51FC3688"/>
    <w:rsid w:val="52507911"/>
    <w:rsid w:val="525D3D70"/>
    <w:rsid w:val="5284215B"/>
    <w:rsid w:val="529C1F4C"/>
    <w:rsid w:val="52E61028"/>
    <w:rsid w:val="53115221"/>
    <w:rsid w:val="53325978"/>
    <w:rsid w:val="536B383C"/>
    <w:rsid w:val="537858B5"/>
    <w:rsid w:val="53AF61DE"/>
    <w:rsid w:val="53D807EB"/>
    <w:rsid w:val="540E732C"/>
    <w:rsid w:val="546F0728"/>
    <w:rsid w:val="548F2638"/>
    <w:rsid w:val="54A16DE2"/>
    <w:rsid w:val="54C53B52"/>
    <w:rsid w:val="54D521A8"/>
    <w:rsid w:val="54F14719"/>
    <w:rsid w:val="55142A92"/>
    <w:rsid w:val="553C1B7C"/>
    <w:rsid w:val="558F3A5D"/>
    <w:rsid w:val="55C714BC"/>
    <w:rsid w:val="55FE2202"/>
    <w:rsid w:val="56283B77"/>
    <w:rsid w:val="563237F0"/>
    <w:rsid w:val="563B2AC6"/>
    <w:rsid w:val="563F00F9"/>
    <w:rsid w:val="56696D06"/>
    <w:rsid w:val="5689305B"/>
    <w:rsid w:val="56B748C6"/>
    <w:rsid w:val="56C07560"/>
    <w:rsid w:val="56C76DB0"/>
    <w:rsid w:val="56CB7BE2"/>
    <w:rsid w:val="56EF512A"/>
    <w:rsid w:val="56F04531"/>
    <w:rsid w:val="57125D0D"/>
    <w:rsid w:val="57181B87"/>
    <w:rsid w:val="574B6B5A"/>
    <w:rsid w:val="5750347B"/>
    <w:rsid w:val="57A25F17"/>
    <w:rsid w:val="57C33C97"/>
    <w:rsid w:val="57E37837"/>
    <w:rsid w:val="57F20FC4"/>
    <w:rsid w:val="584B123F"/>
    <w:rsid w:val="588E672B"/>
    <w:rsid w:val="58B80835"/>
    <w:rsid w:val="58FF2882"/>
    <w:rsid w:val="59260BAB"/>
    <w:rsid w:val="593176D1"/>
    <w:rsid w:val="595B28D0"/>
    <w:rsid w:val="596A1733"/>
    <w:rsid w:val="59826959"/>
    <w:rsid w:val="59C139CF"/>
    <w:rsid w:val="59CB45B2"/>
    <w:rsid w:val="59EC4680"/>
    <w:rsid w:val="5A2F7F46"/>
    <w:rsid w:val="5A3B128B"/>
    <w:rsid w:val="5A581B94"/>
    <w:rsid w:val="5A8B2915"/>
    <w:rsid w:val="5A9D6323"/>
    <w:rsid w:val="5B50656D"/>
    <w:rsid w:val="5B810E0B"/>
    <w:rsid w:val="5B811D81"/>
    <w:rsid w:val="5BB62557"/>
    <w:rsid w:val="5BD84B1B"/>
    <w:rsid w:val="5BE57DED"/>
    <w:rsid w:val="5C1C40E0"/>
    <w:rsid w:val="5C3B5A71"/>
    <w:rsid w:val="5C726B66"/>
    <w:rsid w:val="5C8B3817"/>
    <w:rsid w:val="5C94120B"/>
    <w:rsid w:val="5D4D6D13"/>
    <w:rsid w:val="5D5D3542"/>
    <w:rsid w:val="5DA03E84"/>
    <w:rsid w:val="5DEA685D"/>
    <w:rsid w:val="5DFE2AEA"/>
    <w:rsid w:val="5E1256DF"/>
    <w:rsid w:val="5E205E63"/>
    <w:rsid w:val="5E855AD6"/>
    <w:rsid w:val="5EE21E55"/>
    <w:rsid w:val="5EF5219E"/>
    <w:rsid w:val="5F575744"/>
    <w:rsid w:val="5F5E669C"/>
    <w:rsid w:val="5FA97E50"/>
    <w:rsid w:val="5FCC2821"/>
    <w:rsid w:val="60041E27"/>
    <w:rsid w:val="60285294"/>
    <w:rsid w:val="603B6DAA"/>
    <w:rsid w:val="606D0D10"/>
    <w:rsid w:val="606E11AC"/>
    <w:rsid w:val="60760E6B"/>
    <w:rsid w:val="607963B1"/>
    <w:rsid w:val="614A660F"/>
    <w:rsid w:val="614D245F"/>
    <w:rsid w:val="62455CE9"/>
    <w:rsid w:val="62557EAA"/>
    <w:rsid w:val="62863B9A"/>
    <w:rsid w:val="62C359CE"/>
    <w:rsid w:val="62FD5FA1"/>
    <w:rsid w:val="631624DD"/>
    <w:rsid w:val="633F13EC"/>
    <w:rsid w:val="634A2199"/>
    <w:rsid w:val="63624C8F"/>
    <w:rsid w:val="63F77F66"/>
    <w:rsid w:val="642A784A"/>
    <w:rsid w:val="642D452F"/>
    <w:rsid w:val="646943FC"/>
    <w:rsid w:val="647B1FEB"/>
    <w:rsid w:val="64897273"/>
    <w:rsid w:val="648E521E"/>
    <w:rsid w:val="64926A92"/>
    <w:rsid w:val="649622B9"/>
    <w:rsid w:val="649F3C75"/>
    <w:rsid w:val="64FD7D83"/>
    <w:rsid w:val="651F4497"/>
    <w:rsid w:val="654C1C57"/>
    <w:rsid w:val="65580D4F"/>
    <w:rsid w:val="65624D19"/>
    <w:rsid w:val="65960B2D"/>
    <w:rsid w:val="659D0447"/>
    <w:rsid w:val="65AE25AC"/>
    <w:rsid w:val="65B50714"/>
    <w:rsid w:val="66001619"/>
    <w:rsid w:val="66057311"/>
    <w:rsid w:val="663A5F3D"/>
    <w:rsid w:val="66897B72"/>
    <w:rsid w:val="66B17526"/>
    <w:rsid w:val="66ED28DB"/>
    <w:rsid w:val="671A4D87"/>
    <w:rsid w:val="67584B28"/>
    <w:rsid w:val="67710E23"/>
    <w:rsid w:val="67D96A7C"/>
    <w:rsid w:val="681331E2"/>
    <w:rsid w:val="68666209"/>
    <w:rsid w:val="688871B0"/>
    <w:rsid w:val="68B9312D"/>
    <w:rsid w:val="68CE0E0C"/>
    <w:rsid w:val="68EB692B"/>
    <w:rsid w:val="69001B52"/>
    <w:rsid w:val="6936385B"/>
    <w:rsid w:val="694C4B88"/>
    <w:rsid w:val="69AA354B"/>
    <w:rsid w:val="69CC09EA"/>
    <w:rsid w:val="69D32A38"/>
    <w:rsid w:val="69F441C6"/>
    <w:rsid w:val="69FE063E"/>
    <w:rsid w:val="6A0E1913"/>
    <w:rsid w:val="6A3E06B0"/>
    <w:rsid w:val="6A79360C"/>
    <w:rsid w:val="6A97162F"/>
    <w:rsid w:val="6AF45EF9"/>
    <w:rsid w:val="6B8E63F1"/>
    <w:rsid w:val="6BDB6D92"/>
    <w:rsid w:val="6BE63575"/>
    <w:rsid w:val="6C6A1AE7"/>
    <w:rsid w:val="6CA70548"/>
    <w:rsid w:val="6CB70040"/>
    <w:rsid w:val="6CD145D0"/>
    <w:rsid w:val="6D4322E9"/>
    <w:rsid w:val="6D6C0392"/>
    <w:rsid w:val="6DDB2CF4"/>
    <w:rsid w:val="6E467841"/>
    <w:rsid w:val="6E591134"/>
    <w:rsid w:val="6E9B4EB8"/>
    <w:rsid w:val="6EA314CC"/>
    <w:rsid w:val="6EEC063A"/>
    <w:rsid w:val="6F2F0616"/>
    <w:rsid w:val="6F2F439F"/>
    <w:rsid w:val="6F4B5ADA"/>
    <w:rsid w:val="6FA8117B"/>
    <w:rsid w:val="6FAD6205"/>
    <w:rsid w:val="6FAF0943"/>
    <w:rsid w:val="6FC327D5"/>
    <w:rsid w:val="6FCA4295"/>
    <w:rsid w:val="6FDE3AC8"/>
    <w:rsid w:val="6FEF29EC"/>
    <w:rsid w:val="70031467"/>
    <w:rsid w:val="7019114A"/>
    <w:rsid w:val="70276F09"/>
    <w:rsid w:val="703519A0"/>
    <w:rsid w:val="70447B17"/>
    <w:rsid w:val="708E1A8D"/>
    <w:rsid w:val="709003DE"/>
    <w:rsid w:val="70951E76"/>
    <w:rsid w:val="70F72361"/>
    <w:rsid w:val="71156A2F"/>
    <w:rsid w:val="714F6A99"/>
    <w:rsid w:val="71630FD7"/>
    <w:rsid w:val="71717DC0"/>
    <w:rsid w:val="717D5765"/>
    <w:rsid w:val="71981A5C"/>
    <w:rsid w:val="71F876C8"/>
    <w:rsid w:val="722A27CE"/>
    <w:rsid w:val="72936E59"/>
    <w:rsid w:val="72B57223"/>
    <w:rsid w:val="72EB0A43"/>
    <w:rsid w:val="72F94BA1"/>
    <w:rsid w:val="73003DDA"/>
    <w:rsid w:val="73387991"/>
    <w:rsid w:val="736809D0"/>
    <w:rsid w:val="73717099"/>
    <w:rsid w:val="73922011"/>
    <w:rsid w:val="73A5486F"/>
    <w:rsid w:val="73B77EDF"/>
    <w:rsid w:val="73E346BE"/>
    <w:rsid w:val="73F507D5"/>
    <w:rsid w:val="744523D5"/>
    <w:rsid w:val="74986413"/>
    <w:rsid w:val="74A62F76"/>
    <w:rsid w:val="74F74C08"/>
    <w:rsid w:val="74FB12F4"/>
    <w:rsid w:val="75706718"/>
    <w:rsid w:val="757E1CDC"/>
    <w:rsid w:val="75A07772"/>
    <w:rsid w:val="75C11A8F"/>
    <w:rsid w:val="75C736F2"/>
    <w:rsid w:val="75D156CF"/>
    <w:rsid w:val="75F04597"/>
    <w:rsid w:val="75F6770B"/>
    <w:rsid w:val="76125DBC"/>
    <w:rsid w:val="766749A7"/>
    <w:rsid w:val="76C52DBF"/>
    <w:rsid w:val="76E26740"/>
    <w:rsid w:val="76FA3E8B"/>
    <w:rsid w:val="771224D9"/>
    <w:rsid w:val="77762D49"/>
    <w:rsid w:val="77E91A61"/>
    <w:rsid w:val="782854BA"/>
    <w:rsid w:val="782A0CCF"/>
    <w:rsid w:val="78365079"/>
    <w:rsid w:val="78BA5062"/>
    <w:rsid w:val="78C43DEF"/>
    <w:rsid w:val="79083069"/>
    <w:rsid w:val="792800EC"/>
    <w:rsid w:val="793334A5"/>
    <w:rsid w:val="79AF60AA"/>
    <w:rsid w:val="7A550BE1"/>
    <w:rsid w:val="7A5E1854"/>
    <w:rsid w:val="7A6B0555"/>
    <w:rsid w:val="7A805960"/>
    <w:rsid w:val="7B1959A1"/>
    <w:rsid w:val="7B1B3605"/>
    <w:rsid w:val="7B352B4B"/>
    <w:rsid w:val="7B614CE0"/>
    <w:rsid w:val="7B6B7720"/>
    <w:rsid w:val="7B7E3356"/>
    <w:rsid w:val="7BA96B03"/>
    <w:rsid w:val="7BCF4724"/>
    <w:rsid w:val="7C0C712A"/>
    <w:rsid w:val="7C156EAB"/>
    <w:rsid w:val="7C7B27F2"/>
    <w:rsid w:val="7CB62157"/>
    <w:rsid w:val="7CCA29AC"/>
    <w:rsid w:val="7CD754D4"/>
    <w:rsid w:val="7CDE4B62"/>
    <w:rsid w:val="7CEC3FA8"/>
    <w:rsid w:val="7D365DDA"/>
    <w:rsid w:val="7D52068C"/>
    <w:rsid w:val="7D5E1B88"/>
    <w:rsid w:val="7D8F510A"/>
    <w:rsid w:val="7E4B08A0"/>
    <w:rsid w:val="7E751873"/>
    <w:rsid w:val="7E784443"/>
    <w:rsid w:val="7EAC2A89"/>
    <w:rsid w:val="7EB27C2B"/>
    <w:rsid w:val="7EB82415"/>
    <w:rsid w:val="7ED93072"/>
    <w:rsid w:val="7F7537D3"/>
    <w:rsid w:val="7F7B5817"/>
    <w:rsid w:val="7F954211"/>
    <w:rsid w:val="7FCB39E4"/>
    <w:rsid w:val="7FCD2348"/>
    <w:rsid w:val="7FFF7E1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iPriority="99" w:semiHidden="0" w:name="Body Text First Indent"/>
    <w:lsdException w:qFormat="1" w:uiPriority="99" w:semiHidden="0" w:name="Body Text First Indent 2"/>
    <w:lsdException w:uiPriority="99" w:name="Note Heading"/>
    <w:lsdException w:qFormat="1" w:uiPriority="99" w:name="Body Text 2"/>
    <w:lsdException w:uiPriority="99" w:name="Body Text 3"/>
    <w:lsdException w:qFormat="1" w:uiPriority="99" w:name="Body Text Indent 2"/>
    <w:lsdException w:qFormat="1" w:uiPriority="99"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1"/>
      <w:lang w:val="en-US" w:eastAsia="zh-CN" w:bidi="ar-SA"/>
    </w:rPr>
  </w:style>
  <w:style w:type="paragraph" w:styleId="4">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6"/>
    <w:semiHidden/>
    <w:unhideWhenUsed/>
    <w:qFormat/>
    <w:uiPriority w:val="9"/>
    <w:pPr>
      <w:keepNext/>
      <w:keepLines/>
      <w:spacing w:before="260" w:after="260" w:line="416"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autoSpaceDE w:val="0"/>
      <w:autoSpaceDN w:val="0"/>
      <w:adjustRightInd w:val="0"/>
    </w:pPr>
    <w:rPr>
      <w:rFonts w:ascii="Times New Roman" w:hAnsi="Times New Roman" w:cs="Times New Roman"/>
      <w:color w:val="000000"/>
      <w:sz w:val="24"/>
      <w:szCs w:val="24"/>
    </w:rPr>
  </w:style>
  <w:style w:type="paragraph" w:customStyle="1" w:styleId="3">
    <w:name w:val="纯文本1"/>
    <w:basedOn w:val="1"/>
    <w:qFormat/>
    <w:uiPriority w:val="0"/>
    <w:rPr>
      <w:rFonts w:ascii="宋体" w:hAnsi="Courier New"/>
    </w:rPr>
  </w:style>
  <w:style w:type="paragraph" w:styleId="7">
    <w:name w:val="Normal Indent"/>
    <w:basedOn w:val="1"/>
    <w:link w:val="48"/>
    <w:qFormat/>
    <w:uiPriority w:val="0"/>
    <w:pPr>
      <w:spacing w:line="420" w:lineRule="exact"/>
      <w:ind w:firstLine="560" w:firstLineChars="200"/>
    </w:pPr>
    <w:rPr>
      <w:rFonts w:ascii="FangSong_GB2312" w:eastAsia="FangSong_GB2312"/>
      <w:color w:val="000000"/>
      <w:sz w:val="30"/>
      <w:szCs w:val="24"/>
    </w:rPr>
  </w:style>
  <w:style w:type="paragraph" w:styleId="8">
    <w:name w:val="Document Map"/>
    <w:basedOn w:val="1"/>
    <w:link w:val="47"/>
    <w:semiHidden/>
    <w:unhideWhenUsed/>
    <w:qFormat/>
    <w:uiPriority w:val="99"/>
    <w:rPr>
      <w:rFonts w:ascii="宋体" w:eastAsia="宋体"/>
      <w:sz w:val="18"/>
      <w:szCs w:val="18"/>
    </w:rPr>
  </w:style>
  <w:style w:type="paragraph" w:styleId="9">
    <w:name w:val="annotation text"/>
    <w:basedOn w:val="1"/>
    <w:link w:val="61"/>
    <w:unhideWhenUsed/>
    <w:qFormat/>
    <w:uiPriority w:val="0"/>
    <w:pPr>
      <w:jc w:val="left"/>
    </w:pPr>
  </w:style>
  <w:style w:type="paragraph" w:styleId="10">
    <w:name w:val="Body Text"/>
    <w:basedOn w:val="1"/>
    <w:link w:val="59"/>
    <w:unhideWhenUsed/>
    <w:qFormat/>
    <w:uiPriority w:val="0"/>
    <w:pPr>
      <w:spacing w:after="120"/>
    </w:pPr>
  </w:style>
  <w:style w:type="paragraph" w:styleId="11">
    <w:name w:val="Body Text Indent"/>
    <w:basedOn w:val="1"/>
    <w:next w:val="1"/>
    <w:link w:val="64"/>
    <w:qFormat/>
    <w:uiPriority w:val="0"/>
    <w:pPr>
      <w:spacing w:after="120"/>
      <w:ind w:left="420" w:leftChars="200"/>
    </w:pPr>
    <w:rPr>
      <w:rFonts w:ascii="宋体" w:hAnsi="宋体" w:eastAsia="楷体" w:cs="Times New Roman"/>
      <w:color w:val="000000"/>
      <w:kern w:val="0"/>
      <w:sz w:val="28"/>
      <w:szCs w:val="22"/>
    </w:rPr>
  </w:style>
  <w:style w:type="paragraph" w:styleId="12">
    <w:name w:val="Block Text"/>
    <w:basedOn w:val="1"/>
    <w:qFormat/>
    <w:uiPriority w:val="0"/>
    <w:pPr>
      <w:widowControl/>
      <w:spacing w:line="440" w:lineRule="exact"/>
      <w:ind w:left="113" w:right="113" w:firstLine="567"/>
    </w:pPr>
    <w:rPr>
      <w:rFonts w:ascii="FangSong_GB2312" w:hAnsi="Times New Roman" w:eastAsia="FangSong_GB2312" w:cs="Times New Roman"/>
      <w:kern w:val="0"/>
      <w:sz w:val="28"/>
      <w:szCs w:val="20"/>
    </w:rPr>
  </w:style>
  <w:style w:type="paragraph" w:styleId="13">
    <w:name w:val="toc 3"/>
    <w:basedOn w:val="1"/>
    <w:next w:val="1"/>
    <w:unhideWhenUsed/>
    <w:qFormat/>
    <w:uiPriority w:val="39"/>
    <w:pPr>
      <w:ind w:left="840" w:leftChars="400"/>
    </w:pPr>
  </w:style>
  <w:style w:type="paragraph" w:styleId="14">
    <w:name w:val="Plain Text"/>
    <w:basedOn w:val="1"/>
    <w:next w:val="1"/>
    <w:link w:val="66"/>
    <w:qFormat/>
    <w:uiPriority w:val="99"/>
    <w:pPr>
      <w:widowControl/>
      <w:spacing w:before="100" w:beforeAutospacing="1" w:after="100" w:afterAutospacing="1"/>
      <w:jc w:val="left"/>
    </w:pPr>
    <w:rPr>
      <w:rFonts w:ascii="宋体" w:hAnsi="宋体" w:eastAsia="宋体" w:cs="Times New Roman"/>
      <w:kern w:val="0"/>
      <w:sz w:val="24"/>
      <w:szCs w:val="20"/>
    </w:rPr>
  </w:style>
  <w:style w:type="paragraph" w:styleId="15">
    <w:name w:val="Date"/>
    <w:basedOn w:val="1"/>
    <w:next w:val="1"/>
    <w:link w:val="43"/>
    <w:unhideWhenUsed/>
    <w:qFormat/>
    <w:uiPriority w:val="0"/>
    <w:pPr>
      <w:ind w:left="100" w:leftChars="2500"/>
    </w:pPr>
  </w:style>
  <w:style w:type="paragraph" w:styleId="16">
    <w:name w:val="Body Text Indent 2"/>
    <w:basedOn w:val="1"/>
    <w:link w:val="96"/>
    <w:semiHidden/>
    <w:unhideWhenUsed/>
    <w:qFormat/>
    <w:uiPriority w:val="99"/>
    <w:pPr>
      <w:spacing w:after="120" w:line="480" w:lineRule="auto"/>
      <w:ind w:left="420" w:leftChars="200"/>
    </w:pPr>
  </w:style>
  <w:style w:type="paragraph" w:styleId="17">
    <w:name w:val="Balloon Text"/>
    <w:basedOn w:val="1"/>
    <w:link w:val="44"/>
    <w:semiHidden/>
    <w:unhideWhenUsed/>
    <w:qFormat/>
    <w:uiPriority w:val="99"/>
    <w:rPr>
      <w:sz w:val="18"/>
      <w:szCs w:val="18"/>
    </w:rPr>
  </w:style>
  <w:style w:type="paragraph" w:styleId="18">
    <w:name w:val="footer"/>
    <w:basedOn w:val="1"/>
    <w:link w:val="42"/>
    <w:unhideWhenUsed/>
    <w:qFormat/>
    <w:uiPriority w:val="0"/>
    <w:pPr>
      <w:tabs>
        <w:tab w:val="center" w:pos="4153"/>
        <w:tab w:val="right" w:pos="8306"/>
      </w:tabs>
      <w:snapToGrid w:val="0"/>
      <w:jc w:val="left"/>
    </w:pPr>
    <w:rPr>
      <w:sz w:val="18"/>
      <w:szCs w:val="18"/>
    </w:rPr>
  </w:style>
  <w:style w:type="paragraph" w:styleId="19">
    <w:name w:val="header"/>
    <w:basedOn w:val="1"/>
    <w:next w:val="20"/>
    <w:link w:val="41"/>
    <w:unhideWhenUsed/>
    <w:qFormat/>
    <w:uiPriority w:val="99"/>
    <w:pPr>
      <w:tabs>
        <w:tab w:val="center" w:pos="4153"/>
        <w:tab w:val="right" w:pos="8306"/>
      </w:tabs>
      <w:snapToGrid w:val="0"/>
      <w:jc w:val="center"/>
    </w:pPr>
    <w:rPr>
      <w:sz w:val="18"/>
      <w:szCs w:val="18"/>
    </w:rPr>
  </w:style>
  <w:style w:type="paragraph" w:customStyle="1" w:styleId="20">
    <w:name w:val="样式5"/>
    <w:basedOn w:val="21"/>
    <w:qFormat/>
    <w:uiPriority w:val="0"/>
    <w:pPr>
      <w:spacing w:line="360" w:lineRule="auto"/>
      <w:ind w:firstLine="510"/>
    </w:pPr>
    <w:rPr>
      <w:spacing w:val="0"/>
      <w:kern w:val="2"/>
      <w:sz w:val="24"/>
      <w:szCs w:val="24"/>
    </w:rPr>
  </w:style>
  <w:style w:type="paragraph" w:customStyle="1" w:styleId="21">
    <w:name w:val="正文1"/>
    <w:basedOn w:val="1"/>
    <w:next w:val="1"/>
    <w:qFormat/>
    <w:uiPriority w:val="0"/>
    <w:pPr>
      <w:spacing w:line="270" w:lineRule="exact"/>
      <w:jc w:val="center"/>
    </w:pPr>
    <w:rPr>
      <w:spacing w:val="8"/>
      <w:kern w:val="21"/>
      <w:szCs w:val="20"/>
    </w:rPr>
  </w:style>
  <w:style w:type="paragraph" w:styleId="22">
    <w:name w:val="toc 1"/>
    <w:basedOn w:val="1"/>
    <w:next w:val="1"/>
    <w:unhideWhenUsed/>
    <w:qFormat/>
    <w:uiPriority w:val="39"/>
  </w:style>
  <w:style w:type="paragraph" w:styleId="23">
    <w:name w:val="Subtitle"/>
    <w:basedOn w:val="1"/>
    <w:next w:val="1"/>
    <w:link w:val="46"/>
    <w:qFormat/>
    <w:uiPriority w:val="11"/>
    <w:pPr>
      <w:spacing w:line="360" w:lineRule="auto"/>
      <w:jc w:val="center"/>
    </w:pPr>
    <w:rPr>
      <w:rFonts w:eastAsia="Times New Roman" w:asciiTheme="majorHAnsi" w:hAnsiTheme="majorHAnsi" w:cstheme="majorBidi"/>
      <w:b/>
      <w:bCs/>
      <w:kern w:val="28"/>
      <w:sz w:val="24"/>
      <w:szCs w:val="32"/>
    </w:rPr>
  </w:style>
  <w:style w:type="paragraph" w:styleId="24">
    <w:name w:val="Body Text Indent 3"/>
    <w:basedOn w:val="1"/>
    <w:link w:val="69"/>
    <w:unhideWhenUsed/>
    <w:qFormat/>
    <w:uiPriority w:val="99"/>
    <w:pPr>
      <w:spacing w:after="120"/>
      <w:ind w:left="420" w:leftChars="200"/>
    </w:pPr>
    <w:rPr>
      <w:sz w:val="16"/>
      <w:szCs w:val="16"/>
    </w:rPr>
  </w:style>
  <w:style w:type="paragraph" w:styleId="25">
    <w:name w:val="Body Text 2"/>
    <w:basedOn w:val="1"/>
    <w:link w:val="67"/>
    <w:semiHidden/>
    <w:unhideWhenUsed/>
    <w:qFormat/>
    <w:uiPriority w:val="99"/>
    <w:pPr>
      <w:spacing w:after="120" w:line="480" w:lineRule="auto"/>
    </w:pPr>
  </w:style>
  <w:style w:type="paragraph" w:styleId="26">
    <w:name w:val="Normal (Web)"/>
    <w:basedOn w:val="1"/>
    <w:qFormat/>
    <w:uiPriority w:val="99"/>
    <w:pPr>
      <w:widowControl/>
      <w:spacing w:before="100" w:beforeAutospacing="1" w:after="100" w:afterAutospacing="1"/>
      <w:jc w:val="left"/>
    </w:pPr>
    <w:rPr>
      <w:rFonts w:ascii="宋体" w:hAnsi="宋体" w:eastAsia="宋体" w:cs="宋体"/>
      <w:kern w:val="0"/>
      <w:sz w:val="28"/>
      <w:szCs w:val="28"/>
    </w:rPr>
  </w:style>
  <w:style w:type="paragraph" w:styleId="27">
    <w:name w:val="annotation subject"/>
    <w:basedOn w:val="9"/>
    <w:next w:val="9"/>
    <w:link w:val="62"/>
    <w:semiHidden/>
    <w:unhideWhenUsed/>
    <w:qFormat/>
    <w:uiPriority w:val="99"/>
    <w:rPr>
      <w:b/>
      <w:bCs/>
    </w:rPr>
  </w:style>
  <w:style w:type="paragraph" w:styleId="28">
    <w:name w:val="Body Text First Indent"/>
    <w:basedOn w:val="10"/>
    <w:link w:val="80"/>
    <w:unhideWhenUsed/>
    <w:qFormat/>
    <w:uiPriority w:val="99"/>
    <w:pPr>
      <w:ind w:firstLine="420" w:firstLineChars="100"/>
    </w:pPr>
  </w:style>
  <w:style w:type="paragraph" w:styleId="29">
    <w:name w:val="Body Text First Indent 2"/>
    <w:basedOn w:val="11"/>
    <w:next w:val="1"/>
    <w:link w:val="91"/>
    <w:unhideWhenUsed/>
    <w:qFormat/>
    <w:uiPriority w:val="99"/>
    <w:pPr>
      <w:ind w:firstLine="420" w:firstLineChars="200"/>
    </w:pPr>
    <w:rPr>
      <w:rFonts w:asciiTheme="minorHAnsi" w:hAnsiTheme="minorHAnsi" w:eastAsiaTheme="minorEastAsia" w:cstheme="minorBidi"/>
      <w:color w:val="auto"/>
      <w:kern w:val="2"/>
      <w:sz w:val="21"/>
      <w:szCs w:val="21"/>
    </w:rPr>
  </w:style>
  <w:style w:type="table" w:styleId="31">
    <w:name w:val="Table Grid"/>
    <w:basedOn w:val="30"/>
    <w:qFormat/>
    <w:uiPriority w:val="0"/>
    <w:rPr>
      <w:szCs w:val="21"/>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3">
    <w:name w:val="Hyperlink"/>
    <w:basedOn w:val="32"/>
    <w:unhideWhenUsed/>
    <w:qFormat/>
    <w:uiPriority w:val="99"/>
    <w:rPr>
      <w:color w:val="0000FF" w:themeColor="hyperlink"/>
      <w:u w:val="single"/>
      <w14:textFill>
        <w14:solidFill>
          <w14:schemeClr w14:val="hlink"/>
        </w14:solidFill>
      </w14:textFill>
    </w:rPr>
  </w:style>
  <w:style w:type="character" w:styleId="34">
    <w:name w:val="annotation reference"/>
    <w:qFormat/>
    <w:uiPriority w:val="0"/>
    <w:rPr>
      <w:sz w:val="21"/>
    </w:rPr>
  </w:style>
  <w:style w:type="character" w:customStyle="1" w:styleId="35">
    <w:name w:val="标题 1 Char"/>
    <w:basedOn w:val="32"/>
    <w:link w:val="4"/>
    <w:qFormat/>
    <w:uiPriority w:val="9"/>
    <w:rPr>
      <w:b/>
      <w:bCs/>
      <w:kern w:val="44"/>
      <w:sz w:val="44"/>
      <w:szCs w:val="44"/>
    </w:rPr>
  </w:style>
  <w:style w:type="character" w:customStyle="1" w:styleId="36">
    <w:name w:val="标题 3 Char"/>
    <w:basedOn w:val="32"/>
    <w:link w:val="6"/>
    <w:semiHidden/>
    <w:qFormat/>
    <w:uiPriority w:val="9"/>
    <w:rPr>
      <w:b/>
      <w:bCs/>
      <w:sz w:val="32"/>
      <w:szCs w:val="32"/>
    </w:rPr>
  </w:style>
  <w:style w:type="paragraph" w:customStyle="1" w:styleId="37">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lang w:val="en-US" w:eastAsia="zh-CN"/>
    </w:rPr>
  </w:style>
  <w:style w:type="paragraph" w:customStyle="1" w:styleId="38">
    <w:name w:val="li_正文"/>
    <w:basedOn w:val="1"/>
    <w:qFormat/>
    <w:uiPriority w:val="99"/>
    <w:pPr>
      <w:spacing w:line="360" w:lineRule="auto"/>
      <w:ind w:firstLine="200" w:firstLineChars="200"/>
      <w:jc w:val="left"/>
    </w:pPr>
    <w:rPr>
      <w:rFonts w:ascii="Times New Roman" w:hAnsi="Times New Roman" w:eastAsia="宋体" w:cs="Times New Roman"/>
      <w:sz w:val="28"/>
      <w:szCs w:val="28"/>
    </w:rPr>
  </w:style>
  <w:style w:type="paragraph" w:customStyle="1" w:styleId="39">
    <w:name w:val="BodyText1I2"/>
    <w:basedOn w:val="40"/>
    <w:next w:val="1"/>
    <w:qFormat/>
    <w:uiPriority w:val="0"/>
    <w:pPr>
      <w:ind w:firstLine="420"/>
    </w:pPr>
    <w:rPr>
      <w:sz w:val="24"/>
    </w:rPr>
  </w:style>
  <w:style w:type="paragraph" w:customStyle="1" w:styleId="40">
    <w:name w:val="BodyTextIndent"/>
    <w:basedOn w:val="1"/>
    <w:next w:val="1"/>
    <w:qFormat/>
    <w:uiPriority w:val="0"/>
    <w:pPr>
      <w:spacing w:after="120"/>
      <w:ind w:left="420" w:leftChars="200"/>
      <w:textAlignment w:val="baseline"/>
    </w:pPr>
    <w:rPr>
      <w:rFonts w:ascii="Times New Roman" w:hAnsi="Times New Roman"/>
      <w:szCs w:val="20"/>
    </w:rPr>
  </w:style>
  <w:style w:type="character" w:customStyle="1" w:styleId="41">
    <w:name w:val="页眉 Char"/>
    <w:basedOn w:val="32"/>
    <w:link w:val="19"/>
    <w:qFormat/>
    <w:uiPriority w:val="99"/>
    <w:rPr>
      <w:sz w:val="18"/>
      <w:szCs w:val="18"/>
    </w:rPr>
  </w:style>
  <w:style w:type="character" w:customStyle="1" w:styleId="42">
    <w:name w:val="页脚 Char"/>
    <w:basedOn w:val="32"/>
    <w:link w:val="18"/>
    <w:qFormat/>
    <w:uiPriority w:val="0"/>
    <w:rPr>
      <w:sz w:val="18"/>
      <w:szCs w:val="18"/>
    </w:rPr>
  </w:style>
  <w:style w:type="character" w:customStyle="1" w:styleId="43">
    <w:name w:val="日期 Char"/>
    <w:basedOn w:val="32"/>
    <w:link w:val="15"/>
    <w:qFormat/>
    <w:uiPriority w:val="0"/>
    <w:rPr>
      <w:szCs w:val="21"/>
    </w:rPr>
  </w:style>
  <w:style w:type="character" w:customStyle="1" w:styleId="44">
    <w:name w:val="批注框文本 Char"/>
    <w:basedOn w:val="32"/>
    <w:link w:val="17"/>
    <w:semiHidden/>
    <w:qFormat/>
    <w:uiPriority w:val="99"/>
    <w:rPr>
      <w:sz w:val="18"/>
      <w:szCs w:val="18"/>
    </w:rPr>
  </w:style>
  <w:style w:type="paragraph" w:styleId="45">
    <w:name w:val="List Paragraph"/>
    <w:basedOn w:val="1"/>
    <w:qFormat/>
    <w:uiPriority w:val="34"/>
    <w:pPr>
      <w:ind w:firstLine="420" w:firstLineChars="200"/>
    </w:pPr>
  </w:style>
  <w:style w:type="character" w:customStyle="1" w:styleId="46">
    <w:name w:val="副标题 Char"/>
    <w:basedOn w:val="32"/>
    <w:link w:val="23"/>
    <w:qFormat/>
    <w:uiPriority w:val="11"/>
    <w:rPr>
      <w:rFonts w:eastAsia="Times New Roman" w:asciiTheme="majorHAnsi" w:hAnsiTheme="majorHAnsi" w:cstheme="majorBidi"/>
      <w:b/>
      <w:bCs/>
      <w:kern w:val="28"/>
      <w:sz w:val="24"/>
      <w:szCs w:val="32"/>
    </w:rPr>
  </w:style>
  <w:style w:type="character" w:customStyle="1" w:styleId="47">
    <w:name w:val="文档结构图 Char"/>
    <w:basedOn w:val="32"/>
    <w:link w:val="8"/>
    <w:semiHidden/>
    <w:qFormat/>
    <w:uiPriority w:val="99"/>
    <w:rPr>
      <w:rFonts w:ascii="宋体" w:eastAsia="宋体"/>
      <w:sz w:val="18"/>
      <w:szCs w:val="18"/>
    </w:rPr>
  </w:style>
  <w:style w:type="character" w:customStyle="1" w:styleId="48">
    <w:name w:val="正文缩进 Char"/>
    <w:link w:val="7"/>
    <w:qFormat/>
    <w:uiPriority w:val="0"/>
    <w:rPr>
      <w:rFonts w:ascii="FangSong_GB2312" w:eastAsia="FangSong_GB2312"/>
      <w:color w:val="000000"/>
      <w:sz w:val="30"/>
      <w:szCs w:val="24"/>
    </w:rPr>
  </w:style>
  <w:style w:type="paragraph" w:customStyle="1" w:styleId="49">
    <w:name w:val="陈光的正文"/>
    <w:basedOn w:val="1"/>
    <w:qFormat/>
    <w:uiPriority w:val="0"/>
    <w:pPr>
      <w:adjustRightInd w:val="0"/>
      <w:snapToGrid w:val="0"/>
      <w:spacing w:beforeLines="10" w:afterLines="10" w:line="360" w:lineRule="auto"/>
      <w:ind w:firstLine="560" w:firstLineChars="200"/>
    </w:pPr>
    <w:rPr>
      <w:rFonts w:ascii="Times New Roman" w:hAnsi="Times New Roman" w:eastAsia="Times New Roman" w:cs="Times New Roman"/>
      <w:sz w:val="24"/>
      <w:szCs w:val="20"/>
    </w:rPr>
  </w:style>
  <w:style w:type="paragraph" w:customStyle="1" w:styleId="50">
    <w:name w:val="表头1"/>
    <w:basedOn w:val="1"/>
    <w:link w:val="51"/>
    <w:qFormat/>
    <w:uiPriority w:val="0"/>
    <w:pPr>
      <w:adjustRightInd w:val="0"/>
      <w:snapToGrid w:val="0"/>
      <w:jc w:val="center"/>
    </w:pPr>
    <w:rPr>
      <w:rFonts w:ascii="Times New Roman" w:hAnsi="宋体" w:eastAsia="Times New Roman" w:cs="Times New Roman"/>
      <w:b/>
      <w:kern w:val="0"/>
      <w:sz w:val="24"/>
      <w:szCs w:val="28"/>
    </w:rPr>
  </w:style>
  <w:style w:type="character" w:customStyle="1" w:styleId="51">
    <w:name w:val="表头1 Char"/>
    <w:basedOn w:val="32"/>
    <w:link w:val="50"/>
    <w:qFormat/>
    <w:uiPriority w:val="0"/>
    <w:rPr>
      <w:rFonts w:ascii="Times New Roman" w:hAnsi="宋体" w:eastAsia="Times New Roman" w:cs="Times New Roman"/>
      <w:b/>
      <w:kern w:val="0"/>
      <w:sz w:val="24"/>
      <w:szCs w:val="28"/>
    </w:rPr>
  </w:style>
  <w:style w:type="character" w:customStyle="1" w:styleId="52">
    <w:name w:val="font01"/>
    <w:basedOn w:val="32"/>
    <w:qFormat/>
    <w:uiPriority w:val="0"/>
    <w:rPr>
      <w:rFonts w:hint="default" w:ascii="Times New Roman" w:hAnsi="Times New Roman" w:cs="Times New Roman"/>
      <w:color w:val="000000"/>
      <w:sz w:val="22"/>
      <w:szCs w:val="22"/>
      <w:u w:val="none"/>
    </w:rPr>
  </w:style>
  <w:style w:type="character" w:customStyle="1" w:styleId="53">
    <w:name w:val="font11"/>
    <w:basedOn w:val="32"/>
    <w:qFormat/>
    <w:uiPriority w:val="0"/>
    <w:rPr>
      <w:rFonts w:hint="eastAsia" w:ascii="宋体" w:hAnsi="宋体" w:eastAsia="宋体" w:cs="宋体"/>
      <w:color w:val="000000"/>
      <w:sz w:val="22"/>
      <w:szCs w:val="22"/>
      <w:u w:val="none"/>
    </w:rPr>
  </w:style>
  <w:style w:type="character" w:customStyle="1" w:styleId="54">
    <w:name w:val="postbody1"/>
    <w:basedOn w:val="32"/>
    <w:qFormat/>
    <w:uiPriority w:val="0"/>
    <w:rPr>
      <w:sz w:val="21"/>
      <w:szCs w:val="21"/>
    </w:rPr>
  </w:style>
  <w:style w:type="character" w:customStyle="1" w:styleId="55">
    <w:name w:val="样式 小四"/>
    <w:basedOn w:val="32"/>
    <w:qFormat/>
    <w:uiPriority w:val="0"/>
    <w:rPr>
      <w:rFonts w:ascii="Times New Roman" w:hAnsi="Times New Roman" w:eastAsia="宋体"/>
      <w:sz w:val="24"/>
      <w:szCs w:val="24"/>
    </w:rPr>
  </w:style>
  <w:style w:type="character" w:customStyle="1" w:styleId="56">
    <w:name w:val="样式1 Char Char"/>
    <w:link w:val="57"/>
    <w:qFormat/>
    <w:uiPriority w:val="0"/>
    <w:rPr>
      <w:rFonts w:eastAsia="FangSong_GB2312"/>
      <w:bCs/>
      <w:kern w:val="30"/>
      <w:sz w:val="30"/>
      <w:szCs w:val="30"/>
    </w:rPr>
  </w:style>
  <w:style w:type="paragraph" w:customStyle="1" w:styleId="57">
    <w:name w:val="样式1"/>
    <w:basedOn w:val="1"/>
    <w:link w:val="56"/>
    <w:qFormat/>
    <w:uiPriority w:val="0"/>
    <w:pPr>
      <w:adjustRightInd w:val="0"/>
      <w:snapToGrid w:val="0"/>
      <w:spacing w:line="520" w:lineRule="exact"/>
      <w:ind w:firstLine="200" w:firstLineChars="200"/>
    </w:pPr>
    <w:rPr>
      <w:rFonts w:eastAsia="FangSong_GB2312"/>
      <w:bCs/>
      <w:kern w:val="30"/>
      <w:sz w:val="30"/>
      <w:szCs w:val="30"/>
    </w:rPr>
  </w:style>
  <w:style w:type="paragraph" w:customStyle="1" w:styleId="58">
    <w:name w:val="样式 左侧:  0.42 厘米 首行缩进:  0.85 厘米 右侧:  0.42 厘米"/>
    <w:basedOn w:val="1"/>
    <w:qFormat/>
    <w:uiPriority w:val="0"/>
    <w:pPr>
      <w:spacing w:line="360" w:lineRule="auto"/>
    </w:pPr>
    <w:rPr>
      <w:rFonts w:ascii="Times New Roman" w:hAnsi="Times New Roman" w:eastAsia="宋体" w:cs="宋体"/>
      <w:sz w:val="24"/>
      <w:szCs w:val="20"/>
    </w:rPr>
  </w:style>
  <w:style w:type="character" w:customStyle="1" w:styleId="59">
    <w:name w:val="正文文本 Char"/>
    <w:basedOn w:val="32"/>
    <w:link w:val="10"/>
    <w:qFormat/>
    <w:uiPriority w:val="0"/>
    <w:rPr>
      <w:szCs w:val="21"/>
    </w:rPr>
  </w:style>
  <w:style w:type="paragraph" w:customStyle="1" w:styleId="60">
    <w:name w:val="样式2"/>
    <w:basedOn w:val="1"/>
    <w:qFormat/>
    <w:uiPriority w:val="0"/>
    <w:pPr>
      <w:adjustRightInd w:val="0"/>
      <w:ind w:left="170"/>
      <w:jc w:val="left"/>
      <w:textAlignment w:val="baseline"/>
    </w:pPr>
    <w:rPr>
      <w:rFonts w:ascii="Times New Roman" w:hAnsi="Times New Roman" w:eastAsia="宋体" w:cs="Times New Roman"/>
      <w:b/>
      <w:kern w:val="0"/>
      <w:sz w:val="24"/>
      <w:szCs w:val="20"/>
    </w:rPr>
  </w:style>
  <w:style w:type="character" w:customStyle="1" w:styleId="61">
    <w:name w:val="批注文字 Char"/>
    <w:basedOn w:val="32"/>
    <w:link w:val="9"/>
    <w:qFormat/>
    <w:uiPriority w:val="0"/>
    <w:rPr>
      <w:szCs w:val="21"/>
    </w:rPr>
  </w:style>
  <w:style w:type="character" w:customStyle="1" w:styleId="62">
    <w:name w:val="批注主题 Char"/>
    <w:basedOn w:val="61"/>
    <w:link w:val="27"/>
    <w:semiHidden/>
    <w:qFormat/>
    <w:uiPriority w:val="99"/>
    <w:rPr>
      <w:b/>
      <w:bCs/>
    </w:rPr>
  </w:style>
  <w:style w:type="character" w:customStyle="1" w:styleId="63">
    <w:name w:val="apple-converted-space"/>
    <w:basedOn w:val="32"/>
    <w:qFormat/>
    <w:uiPriority w:val="0"/>
  </w:style>
  <w:style w:type="character" w:customStyle="1" w:styleId="64">
    <w:name w:val="正文文本缩进 Char"/>
    <w:basedOn w:val="32"/>
    <w:link w:val="11"/>
    <w:qFormat/>
    <w:uiPriority w:val="0"/>
    <w:rPr>
      <w:rFonts w:ascii="宋体" w:hAnsi="宋体" w:eastAsia="楷体" w:cs="Times New Roman"/>
      <w:color w:val="000000"/>
      <w:kern w:val="0"/>
      <w:sz w:val="28"/>
    </w:rPr>
  </w:style>
  <w:style w:type="character" w:customStyle="1" w:styleId="65">
    <w:name w:val="标题1"/>
    <w:basedOn w:val="32"/>
    <w:qFormat/>
    <w:uiPriority w:val="0"/>
    <w:rPr>
      <w:rFonts w:ascii="Tahoma" w:hAnsi="Tahoma"/>
      <w:sz w:val="24"/>
    </w:rPr>
  </w:style>
  <w:style w:type="character" w:customStyle="1" w:styleId="66">
    <w:name w:val="纯文本 Char"/>
    <w:basedOn w:val="32"/>
    <w:link w:val="14"/>
    <w:qFormat/>
    <w:uiPriority w:val="99"/>
    <w:rPr>
      <w:rFonts w:ascii="宋体" w:hAnsi="宋体" w:eastAsia="宋体" w:cs="Times New Roman"/>
      <w:kern w:val="0"/>
      <w:sz w:val="24"/>
      <w:szCs w:val="20"/>
    </w:rPr>
  </w:style>
  <w:style w:type="character" w:customStyle="1" w:styleId="67">
    <w:name w:val="正文文本 2 Char"/>
    <w:basedOn w:val="32"/>
    <w:link w:val="25"/>
    <w:semiHidden/>
    <w:qFormat/>
    <w:uiPriority w:val="99"/>
    <w:rPr>
      <w:szCs w:val="21"/>
    </w:rPr>
  </w:style>
  <w:style w:type="paragraph" w:customStyle="1" w:styleId="68">
    <w:name w:val="Table Paragraph"/>
    <w:basedOn w:val="1"/>
    <w:qFormat/>
    <w:uiPriority w:val="0"/>
    <w:pPr>
      <w:spacing w:before="100" w:beforeAutospacing="1"/>
      <w:jc w:val="left"/>
    </w:pPr>
    <w:rPr>
      <w:rFonts w:ascii="Calibri" w:hAnsi="Calibri" w:eastAsia="宋体" w:cs="Times New Roman"/>
      <w:kern w:val="0"/>
      <w:sz w:val="22"/>
      <w:szCs w:val="22"/>
    </w:rPr>
  </w:style>
  <w:style w:type="character" w:customStyle="1" w:styleId="69">
    <w:name w:val="正文文本缩进 3 Char"/>
    <w:basedOn w:val="32"/>
    <w:link w:val="24"/>
    <w:qFormat/>
    <w:uiPriority w:val="99"/>
    <w:rPr>
      <w:sz w:val="16"/>
      <w:szCs w:val="16"/>
    </w:rPr>
  </w:style>
  <w:style w:type="character" w:customStyle="1" w:styleId="70">
    <w:name w:val="标题3 Char Char"/>
    <w:link w:val="71"/>
    <w:qFormat/>
    <w:uiPriority w:val="0"/>
    <w:rPr>
      <w:rFonts w:ascii="Tahoma" w:hAnsi="Tahoma" w:eastAsia="FangSong_GB2312" w:cs="宋体"/>
      <w:b/>
      <w:bCs/>
      <w:sz w:val="32"/>
    </w:rPr>
  </w:style>
  <w:style w:type="paragraph" w:customStyle="1" w:styleId="71">
    <w:name w:val="标题3"/>
    <w:basedOn w:val="6"/>
    <w:next w:val="10"/>
    <w:link w:val="70"/>
    <w:qFormat/>
    <w:uiPriority w:val="0"/>
    <w:pPr>
      <w:spacing w:before="120" w:after="120" w:line="360" w:lineRule="auto"/>
    </w:pPr>
    <w:rPr>
      <w:rFonts w:ascii="Tahoma" w:hAnsi="Tahoma" w:eastAsia="FangSong_GB2312" w:cs="宋体"/>
      <w:szCs w:val="22"/>
    </w:rPr>
  </w:style>
  <w:style w:type="paragraph" w:customStyle="1" w:styleId="72">
    <w:name w:val="Char Char Char Char Char Char Char"/>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73">
    <w:name w:val="Char Char5"/>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74">
    <w:name w:val="Normal_2"/>
    <w:qFormat/>
    <w:uiPriority w:val="0"/>
    <w:pPr>
      <w:spacing w:before="120" w:after="240"/>
      <w:jc w:val="both"/>
    </w:pPr>
    <w:rPr>
      <w:rFonts w:ascii="Calibri" w:hAnsi="Calibri" w:eastAsia="Calibri" w:cs="Times New Roman"/>
      <w:sz w:val="22"/>
      <w:szCs w:val="22"/>
      <w:lang w:val="ru-RU" w:eastAsia="en-US" w:bidi="ar-SA"/>
    </w:rPr>
  </w:style>
  <w:style w:type="paragraph" w:customStyle="1" w:styleId="75">
    <w:name w:val="表芯"/>
    <w:basedOn w:val="1"/>
    <w:link w:val="76"/>
    <w:qFormat/>
    <w:uiPriority w:val="0"/>
    <w:rPr>
      <w:rFonts w:ascii="Times New Roman" w:hAnsi="Times New Roman" w:eastAsia="宋体" w:cs="Times New Roman"/>
      <w:szCs w:val="24"/>
    </w:rPr>
  </w:style>
  <w:style w:type="character" w:customStyle="1" w:styleId="76">
    <w:name w:val="表芯 Char"/>
    <w:link w:val="75"/>
    <w:qFormat/>
    <w:uiPriority w:val="0"/>
    <w:rPr>
      <w:rFonts w:ascii="Times New Roman" w:hAnsi="Times New Roman" w:eastAsia="宋体" w:cs="Times New Roman"/>
      <w:szCs w:val="24"/>
    </w:rPr>
  </w:style>
  <w:style w:type="paragraph" w:customStyle="1" w:styleId="77">
    <w:name w:val="表格"/>
    <w:basedOn w:val="1"/>
    <w:qFormat/>
    <w:uiPriority w:val="0"/>
    <w:pPr>
      <w:jc w:val="center"/>
    </w:pPr>
    <w:rPr>
      <w:rFonts w:ascii="Times New Roman" w:hAnsi="Times New Roman" w:eastAsia="宋体" w:cs="Times New Roman"/>
      <w:sz w:val="24"/>
      <w:szCs w:val="24"/>
    </w:rPr>
  </w:style>
  <w:style w:type="paragraph" w:customStyle="1" w:styleId="78">
    <w:name w:val="表格标题"/>
    <w:basedOn w:val="1"/>
    <w:qFormat/>
    <w:uiPriority w:val="0"/>
    <w:pPr>
      <w:spacing w:before="60" w:line="460" w:lineRule="exact"/>
      <w:jc w:val="center"/>
    </w:pPr>
    <w:rPr>
      <w:rFonts w:ascii="Times New Roman" w:hAnsi="Times New Roman" w:eastAsia="宋体" w:cs="Times New Roman"/>
      <w:sz w:val="24"/>
      <w:szCs w:val="20"/>
    </w:rPr>
  </w:style>
  <w:style w:type="paragraph" w:customStyle="1" w:styleId="79">
    <w:name w:val="表体"/>
    <w:basedOn w:val="1"/>
    <w:qFormat/>
    <w:uiPriority w:val="0"/>
    <w:pPr>
      <w:overflowPunct w:val="0"/>
      <w:adjustRightInd w:val="0"/>
      <w:spacing w:line="300" w:lineRule="atLeast"/>
      <w:jc w:val="center"/>
    </w:pPr>
    <w:rPr>
      <w:rFonts w:ascii="Times New Roman" w:hAnsi="Times New Roman" w:eastAsia="宋体" w:cs="Times New Roman"/>
      <w:color w:val="000000"/>
      <w:kern w:val="24"/>
      <w:sz w:val="18"/>
      <w:szCs w:val="20"/>
    </w:rPr>
  </w:style>
  <w:style w:type="character" w:customStyle="1" w:styleId="80">
    <w:name w:val="正文首行缩进 Char"/>
    <w:basedOn w:val="59"/>
    <w:link w:val="28"/>
    <w:qFormat/>
    <w:uiPriority w:val="99"/>
  </w:style>
  <w:style w:type="paragraph" w:customStyle="1" w:styleId="81">
    <w:name w:val="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82">
    <w:name w:val="font5"/>
    <w:basedOn w:val="1"/>
    <w:qFormat/>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83">
    <w:name w:val="Char Char Char Char Char Char Char1"/>
    <w:basedOn w:val="1"/>
    <w:qFormat/>
    <w:uiPriority w:val="0"/>
    <w:pPr>
      <w:spacing w:line="360" w:lineRule="auto"/>
      <w:ind w:firstLine="200" w:firstLineChars="200"/>
    </w:pPr>
    <w:rPr>
      <w:rFonts w:ascii="Times New Roman" w:hAnsi="Times New Roman" w:eastAsia="宋体" w:cs="Times New Roman"/>
      <w:szCs w:val="20"/>
    </w:rPr>
  </w:style>
  <w:style w:type="paragraph" w:customStyle="1" w:styleId="84">
    <w:name w:val="Char Char Char Char Char Char1 Char4"/>
    <w:basedOn w:val="1"/>
    <w:qFormat/>
    <w:uiPriority w:val="0"/>
    <w:pPr>
      <w:spacing w:line="360" w:lineRule="auto"/>
      <w:ind w:firstLine="200" w:firstLineChars="200"/>
    </w:pPr>
    <w:rPr>
      <w:rFonts w:ascii="宋体" w:hAnsi="宋体" w:eastAsia="宋体" w:cs="宋体"/>
      <w:sz w:val="24"/>
      <w:szCs w:val="24"/>
    </w:rPr>
  </w:style>
  <w:style w:type="character" w:customStyle="1" w:styleId="85">
    <w:name w:val="表格内容 Char"/>
    <w:link w:val="86"/>
    <w:qFormat/>
    <w:uiPriority w:val="0"/>
    <w:rPr>
      <w:szCs w:val="21"/>
    </w:rPr>
  </w:style>
  <w:style w:type="paragraph" w:customStyle="1" w:styleId="86">
    <w:name w:val="表格内容"/>
    <w:basedOn w:val="10"/>
    <w:link w:val="85"/>
    <w:qFormat/>
    <w:uiPriority w:val="0"/>
    <w:pPr>
      <w:adjustRightInd w:val="0"/>
      <w:snapToGrid w:val="0"/>
      <w:jc w:val="center"/>
    </w:pPr>
  </w:style>
  <w:style w:type="paragraph" w:customStyle="1" w:styleId="87">
    <w:name w:val="Char Char Char Char Char Char1 Char3"/>
    <w:basedOn w:val="1"/>
    <w:qFormat/>
    <w:uiPriority w:val="0"/>
    <w:pPr>
      <w:spacing w:line="360" w:lineRule="auto"/>
      <w:ind w:firstLine="200" w:firstLineChars="200"/>
    </w:pPr>
    <w:rPr>
      <w:rFonts w:ascii="宋体" w:hAnsi="宋体" w:eastAsia="宋体" w:cs="宋体"/>
      <w:sz w:val="24"/>
      <w:szCs w:val="24"/>
    </w:rPr>
  </w:style>
  <w:style w:type="character" w:customStyle="1" w:styleId="88">
    <w:name w:val="title"/>
    <w:basedOn w:val="32"/>
    <w:qFormat/>
    <w:uiPriority w:val="0"/>
  </w:style>
  <w:style w:type="paragraph" w:customStyle="1" w:styleId="89">
    <w:name w:val="Char Char Char Char Char Char1 Char2"/>
    <w:basedOn w:val="1"/>
    <w:qFormat/>
    <w:uiPriority w:val="0"/>
    <w:pPr>
      <w:spacing w:line="360" w:lineRule="auto"/>
      <w:ind w:firstLine="200" w:firstLineChars="200"/>
    </w:pPr>
    <w:rPr>
      <w:rFonts w:ascii="宋体" w:hAnsi="宋体" w:eastAsia="宋体" w:cs="宋体"/>
      <w:sz w:val="24"/>
      <w:szCs w:val="24"/>
    </w:rPr>
  </w:style>
  <w:style w:type="paragraph" w:customStyle="1" w:styleId="90">
    <w:name w:val="Char Char Char Char Char Char1 Char1"/>
    <w:basedOn w:val="1"/>
    <w:qFormat/>
    <w:uiPriority w:val="0"/>
    <w:pPr>
      <w:spacing w:line="360" w:lineRule="auto"/>
      <w:ind w:firstLine="200" w:firstLineChars="200"/>
    </w:pPr>
    <w:rPr>
      <w:rFonts w:ascii="宋体" w:hAnsi="宋体" w:eastAsia="宋体" w:cs="宋体"/>
      <w:sz w:val="24"/>
      <w:szCs w:val="24"/>
    </w:rPr>
  </w:style>
  <w:style w:type="character" w:customStyle="1" w:styleId="91">
    <w:name w:val="正文首行缩进 2 Char"/>
    <w:basedOn w:val="64"/>
    <w:link w:val="29"/>
    <w:qFormat/>
    <w:uiPriority w:val="99"/>
    <w:rPr>
      <w:szCs w:val="21"/>
    </w:rPr>
  </w:style>
  <w:style w:type="paragraph" w:customStyle="1" w:styleId="92">
    <w:name w:val="表、图标题"/>
    <w:basedOn w:val="1"/>
    <w:qFormat/>
    <w:uiPriority w:val="0"/>
    <w:pPr>
      <w:adjustRightInd w:val="0"/>
      <w:snapToGrid w:val="0"/>
      <w:jc w:val="center"/>
    </w:pPr>
    <w:rPr>
      <w:rFonts w:ascii="Times New Roman" w:hAnsi="Times New Roman" w:eastAsia="宋体" w:cs="Times New Roman"/>
      <w:b/>
      <w:bCs/>
      <w:kern w:val="0"/>
      <w:szCs w:val="18"/>
    </w:rPr>
  </w:style>
  <w:style w:type="character" w:customStyle="1" w:styleId="93">
    <w:name w:val="页脚 Char1"/>
    <w:basedOn w:val="32"/>
    <w:qFormat/>
    <w:locked/>
    <w:uiPriority w:val="0"/>
    <w:rPr>
      <w:rFonts w:ascii="Times New Roman" w:hAnsi="Times New Roman" w:eastAsia="宋体" w:cs="Times New Roman"/>
      <w:sz w:val="18"/>
      <w:szCs w:val="18"/>
    </w:rPr>
  </w:style>
  <w:style w:type="character" w:customStyle="1" w:styleId="94">
    <w:name w:val="正1 Char"/>
    <w:link w:val="95"/>
    <w:qFormat/>
    <w:locked/>
    <w:uiPriority w:val="0"/>
    <w:rPr>
      <w:rFonts w:ascii="KaiTi_GB2312" w:hAnsi="KaiTi_GB2312" w:eastAsia="KaiTi_GB2312"/>
      <w:sz w:val="24"/>
      <w:szCs w:val="24"/>
    </w:rPr>
  </w:style>
  <w:style w:type="paragraph" w:customStyle="1" w:styleId="95">
    <w:name w:val="正1"/>
    <w:basedOn w:val="1"/>
    <w:link w:val="94"/>
    <w:qFormat/>
    <w:uiPriority w:val="0"/>
    <w:pPr>
      <w:spacing w:line="360" w:lineRule="auto"/>
      <w:ind w:firstLine="200" w:firstLineChars="200"/>
      <w:jc w:val="left"/>
    </w:pPr>
    <w:rPr>
      <w:rFonts w:ascii="KaiTi_GB2312" w:hAnsi="KaiTi_GB2312" w:eastAsia="KaiTi_GB2312"/>
      <w:sz w:val="24"/>
      <w:szCs w:val="24"/>
    </w:rPr>
  </w:style>
  <w:style w:type="character" w:customStyle="1" w:styleId="96">
    <w:name w:val="正文文本缩进 2 Char"/>
    <w:basedOn w:val="32"/>
    <w:link w:val="16"/>
    <w:semiHidden/>
    <w:qFormat/>
    <w:uiPriority w:val="99"/>
    <w:rPr>
      <w:rFonts w:asciiTheme="minorHAnsi" w:hAnsiTheme="minorHAnsi" w:eastAsiaTheme="minorEastAsia" w:cstheme="minorBidi"/>
      <w:kern w:val="2"/>
      <w:sz w:val="21"/>
      <w:szCs w:val="21"/>
    </w:rPr>
  </w:style>
  <w:style w:type="paragraph" w:customStyle="1" w:styleId="97">
    <w:name w:val="Normal (Web)1"/>
    <w:basedOn w:val="1"/>
    <w:qFormat/>
    <w:uiPriority w:val="0"/>
    <w:pPr>
      <w:spacing w:before="100" w:beforeAutospacing="1" w:after="100" w:afterAutospacing="1"/>
    </w:pPr>
    <w:rPr>
      <w:rFonts w:ascii="宋体" w:hAnsi="宋体" w:eastAsia="宋体" w:cs="宋体"/>
      <w:sz w:val="24"/>
      <w:szCs w:val="24"/>
    </w:rPr>
  </w:style>
  <w:style w:type="character" w:customStyle="1" w:styleId="98">
    <w:name w:val="报告书正文 Char"/>
    <w:link w:val="99"/>
    <w:qFormat/>
    <w:uiPriority w:val="0"/>
    <w:rPr>
      <w:rFonts w:ascii="Times New Roman" w:hAnsi="Times New Roman"/>
      <w:sz w:val="24"/>
      <w:szCs w:val="24"/>
    </w:rPr>
  </w:style>
  <w:style w:type="paragraph" w:customStyle="1" w:styleId="99">
    <w:name w:val="报告书正文"/>
    <w:basedOn w:val="1"/>
    <w:link w:val="98"/>
    <w:qFormat/>
    <w:uiPriority w:val="0"/>
    <w:pPr>
      <w:spacing w:line="360" w:lineRule="auto"/>
      <w:ind w:firstLine="200" w:firstLineChars="200"/>
    </w:pPr>
    <w:rPr>
      <w:rFonts w:ascii="Times New Roman" w:hAnsi="Times New Roman" w:eastAsia="宋体" w:cs="Times New Roman"/>
      <w:kern w:val="0"/>
      <w:sz w:val="24"/>
      <w:szCs w:val="24"/>
    </w:rPr>
  </w:style>
  <w:style w:type="paragraph" w:customStyle="1" w:styleId="100">
    <w:name w:val="报告正文"/>
    <w:basedOn w:val="1"/>
    <w:qFormat/>
    <w:uiPriority w:val="0"/>
    <w:pPr>
      <w:spacing w:line="360" w:lineRule="auto"/>
      <w:ind w:firstLine="480" w:firstLineChars="200"/>
    </w:pPr>
    <w:rPr>
      <w:rFonts w:ascii="Times New Roman" w:hAnsi="Times New Roman" w:eastAsia="仿宋_GB2312" w:cs="宋体"/>
      <w:sz w:val="24"/>
      <w:szCs w:val="20"/>
    </w:rPr>
  </w:style>
  <w:style w:type="paragraph" w:customStyle="1" w:styleId="101">
    <w:name w:val="正文0"/>
    <w:basedOn w:val="1"/>
    <w:qFormat/>
    <w:uiPriority w:val="0"/>
    <w:pPr>
      <w:spacing w:line="360" w:lineRule="auto"/>
      <w:ind w:firstLine="200" w:firstLineChars="200"/>
    </w:pPr>
    <w:rPr>
      <w:rFonts w:ascii="Times New Roman" w:hAnsi="Times New Roman" w:eastAsia="仿宋_GB2312" w:cs="Times New Roman"/>
      <w:sz w:val="24"/>
      <w:szCs w:val="22"/>
    </w:rPr>
  </w:style>
  <w:style w:type="paragraph" w:customStyle="1" w:styleId="102">
    <w:name w:val="Other|1"/>
    <w:basedOn w:val="1"/>
    <w:qFormat/>
    <w:uiPriority w:val="0"/>
    <w:pPr>
      <w:jc w:val="center"/>
    </w:pPr>
    <w:rPr>
      <w:rFonts w:ascii="宋体" w:hAnsi="宋体" w:eastAsia="宋体" w:cs="宋体"/>
      <w:lang w:val="zh-TW" w:eastAsia="zh-TW" w:bidi="zh-TW"/>
    </w:rPr>
  </w:style>
  <w:style w:type="paragraph" w:customStyle="1" w:styleId="103">
    <w:name w:val="表样式2"/>
    <w:basedOn w:val="1"/>
    <w:qFormat/>
    <w:uiPriority w:val="0"/>
    <w:pPr>
      <w:adjustRightInd w:val="0"/>
      <w:snapToGrid w:val="0"/>
      <w:spacing w:line="420" w:lineRule="exact"/>
    </w:pPr>
    <w:rPr>
      <w:rFonts w:ascii="宋体" w:hAnsi="宋体"/>
      <w:sz w:val="24"/>
      <w:szCs w:val="24"/>
    </w:rPr>
  </w:style>
  <w:style w:type="paragraph" w:customStyle="1" w:styleId="104">
    <w:name w:val="1、大表格内"/>
    <w:basedOn w:val="1"/>
    <w:qFormat/>
    <w:uiPriority w:val="0"/>
    <w:pPr>
      <w:keepNext/>
      <w:keepLines/>
      <w:autoSpaceDE w:val="0"/>
      <w:autoSpaceDN w:val="0"/>
      <w:adjustRightInd w:val="0"/>
      <w:spacing w:line="360" w:lineRule="auto"/>
      <w:ind w:firstLine="480" w:firstLineChars="200"/>
      <w:textAlignment w:val="bottom"/>
    </w:pPr>
    <w:rPr>
      <w:sz w:val="24"/>
      <w:szCs w:val="22"/>
    </w:rPr>
  </w:style>
  <w:style w:type="paragraph" w:customStyle="1" w:styleId="105">
    <w:name w:val="xl25"/>
    <w:basedOn w:val="1"/>
    <w:qFormat/>
    <w:uiPriority w:val="0"/>
    <w:pPr>
      <w:widowControl/>
      <w:spacing w:before="100" w:beforeAutospacing="1" w:after="100" w:afterAutospacing="1"/>
      <w:jc w:val="center"/>
    </w:pPr>
    <w:rPr>
      <w:rFonts w:ascii="Courier New" w:hAnsi="Courier New" w:cs="Courier New"/>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20018</Words>
  <Characters>24678</Characters>
  <Lines>172</Lines>
  <Paragraphs>48</Paragraphs>
  <TotalTime>0</TotalTime>
  <ScaleCrop>false</ScaleCrop>
  <LinksUpToDate>false</LinksUpToDate>
  <CharactersWithSpaces>25038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2018-07-16T06:42:00Z</dcterms:created>
  <dc:creator>Administrator</dc:creator>
  <cp:lastModifiedBy>Administrator</cp:lastModifiedBy>
  <cp:lastPrinted>2022-10-26T03:27:00Z</cp:lastPrinted>
  <dcterms:modified xsi:type="dcterms:W3CDTF">2023-02-28T12:42:23Z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99C24C2B0B664FB28E2629B365B7B667</vt:lpwstr>
  </property>
</Properties>
</file>